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B6B6B"/>
          <w:spacing w:val="140"/>
          <w:sz w:val="28"/>
          <w:szCs w:val="28"/>
        </w:rPr>
        <w:t xml:space="preserve">HAVEN-9</w:t>
      </w:r>
    </w:p>
    <w:p>
      <w:pPr>
        <w:spacing w:after="400"/>
        <w:jc w:val="center"/>
      </w:pPr>
      <w:r>
        <w:rPr>
          <w:rFonts w:ascii="Arial" w:cs="Arial" w:eastAsia="Arial" w:hAnsi="Arial"/>
          <w:color w:val="6B6B6B"/>
          <w:spacing w:val="80"/>
          <w:sz w:val="16"/>
          <w:szCs w:val="16"/>
        </w:rPr>
        <w:t xml:space="preserve">SUBTERRANEAN CONTINUITY AUTHORITY</w:t>
      </w:r>
    </w:p>
    <w:p>
      <w:pPr>
        <w:spacing w:after="80"/>
        <w:jc w:val="center"/>
      </w:pPr>
      <w:r>
        <w:rPr>
          <w:rFonts w:ascii="Arial" w:cs="Arial" w:eastAsia="Arial" w:hAnsi="Arial"/>
          <w:b/>
          <w:bCs/>
          <w:color w:val="1A1A1A"/>
          <w:sz w:val="36"/>
          <w:szCs w:val="36"/>
        </w:rPr>
        <w:t xml:space="preserve">CHARTER OF THE SECTOR COUNCIL</w:t>
      </w:r>
    </w:p>
    <w:p>
      <w:pPr>
        <w:pBdr>
          <w:bottom w:val="single" w:color="BFBFBF" w:sz="8"/>
        </w:pBdr>
        <w:spacing w:after="500"/>
        <w:jc w:val="center"/>
      </w:pPr>
      <w:r>
        <w:rPr>
          <w:rFonts w:ascii="Arial" w:cs="Arial" w:eastAsia="Arial" w:hAnsi="Arial"/>
          <w:i/>
          <w:iCs/>
          <w:color w:val="6B6B6B"/>
          <w:sz w:val="18"/>
          <w:szCs w:val="18"/>
        </w:rPr>
        <w:t xml:space="preserve">Ratified Cycle 12 · Amended Cycle 31 · In force</w:t>
      </w:r>
    </w:p>
    <w:p>
      <w:pPr>
        <w:spacing w:after="100" w:before="220"/>
      </w:pPr>
      <w:r>
        <w:rPr>
          <w:rFonts w:ascii="Arial" w:cs="Arial" w:eastAsia="Arial" w:hAnsi="Arial"/>
          <w:b/>
          <w:bCs/>
          <w:color w:val="1A1A1A"/>
          <w:sz w:val="22"/>
          <w:szCs w:val="22"/>
        </w:rPr>
        <w:t xml:space="preserve">Clause 1 — Composition</w:t>
      </w:r>
    </w:p>
    <w:p>
      <w:pPr>
        <w:spacing w:after="120"/>
      </w:pPr>
      <w:r>
        <w:rPr>
          <w:rFonts w:ascii="Arial" w:cs="Arial" w:eastAsia="Arial" w:hAnsi="Arial"/>
          <w:color w:val="1A1A1A"/>
          <w:sz w:val="20"/>
          <w:szCs w:val="20"/>
        </w:rPr>
        <w:t xml:space="preserve">The Sector Council comprises the Chief of each operating sector of HAVEN-9. Each sector holds one seat and one voice. Liaisons attend and may speak; they do not hold a seat.</w:t>
      </w:r>
    </w:p>
    <w:p>
      <w:pPr>
        <w:spacing w:after="100" w:before="220"/>
      </w:pPr>
      <w:r>
        <w:rPr>
          <w:rFonts w:ascii="Arial" w:cs="Arial" w:eastAsia="Arial" w:hAnsi="Arial"/>
          <w:b/>
          <w:bCs/>
          <w:color w:val="1A1A1A"/>
          <w:sz w:val="22"/>
          <w:szCs w:val="22"/>
        </w:rPr>
        <w:t xml:space="preserve">Clause 2 — Convening</w:t>
      </w:r>
    </w:p>
    <w:p>
      <w:pPr>
        <w:spacing w:after="120"/>
      </w:pPr>
      <w:r>
        <w:rPr>
          <w:rFonts w:ascii="Arial" w:cs="Arial" w:eastAsia="Arial" w:hAnsi="Arial"/>
          <w:color w:val="1A1A1A"/>
          <w:sz w:val="20"/>
          <w:szCs w:val="20"/>
        </w:rPr>
        <w:t xml:space="preserve">The Council convenes when the Continuity Authority calls it. Attendance is not optional. A sector that fails to send its Chief forfeits its voice for that sitting.</w:t>
      </w:r>
    </w:p>
    <w:p>
      <w:pPr>
        <w:spacing w:after="100" w:before="220"/>
      </w:pPr>
      <w:r>
        <w:rPr>
          <w:rFonts w:ascii="Arial" w:cs="Arial" w:eastAsia="Arial" w:hAnsi="Arial"/>
          <w:b/>
          <w:bCs/>
          <w:color w:val="1A1A1A"/>
          <w:sz w:val="22"/>
          <w:szCs w:val="22"/>
        </w:rPr>
        <w:t xml:space="preserve">Clause 3 — Sitting duration</w:t>
      </w:r>
    </w:p>
    <w:p>
      <w:pPr>
        <w:spacing w:after="120"/>
      </w:pPr>
      <w:r>
        <w:rPr>
          <w:rFonts w:ascii="Arial" w:cs="Arial" w:eastAsia="Arial" w:hAnsi="Arial"/>
          <w:color w:val="1A1A1A"/>
          <w:sz w:val="20"/>
          <w:szCs w:val="20"/>
        </w:rPr>
        <w:t xml:space="preserve">A sitting lasts five minutes. It does not run over. Matters unresolved at the close of a sitting stand unresolved.</w:t>
      </w:r>
    </w:p>
    <w:p>
      <w:pPr>
        <w:spacing w:after="100" w:before="220"/>
      </w:pPr>
      <w:r>
        <w:rPr>
          <w:rFonts w:ascii="Arial" w:cs="Arial" w:eastAsia="Arial" w:hAnsi="Arial"/>
          <w:b/>
          <w:bCs/>
          <w:color w:val="1A1A1A"/>
          <w:sz w:val="22"/>
          <w:szCs w:val="22"/>
        </w:rPr>
        <w:t xml:space="preserve">Clause 4 — Binding effect</w:t>
      </w:r>
    </w:p>
    <w:p>
      <w:pPr>
        <w:spacing w:after="120"/>
      </w:pPr>
      <w:r>
        <w:rPr>
          <w:rFonts w:ascii="Arial" w:cs="Arial" w:eastAsia="Arial" w:hAnsi="Arial"/>
          <w:color w:val="1A1A1A"/>
          <w:sz w:val="20"/>
          <w:szCs w:val="20"/>
        </w:rPr>
        <w:t xml:space="preserve">Decisions of the Council bind every sector, including sectors that opposed them and sectors that abstained. There is no appeal.</w:t>
      </w:r>
    </w:p>
    <w:p>
      <w:pPr>
        <w:spacing w:after="100" w:before="220"/>
      </w:pPr>
      <w:r>
        <w:rPr>
          <w:rFonts w:ascii="Arial" w:cs="Arial" w:eastAsia="Arial" w:hAnsi="Arial"/>
          <w:b/>
          <w:bCs/>
          <w:color w:val="1A1A1A"/>
          <w:sz w:val="22"/>
          <w:szCs w:val="22"/>
        </w:rPr>
        <w:t xml:space="preserve">Clause 5 — Transfers</w:t>
      </w:r>
    </w:p>
    <w:p>
      <w:pPr>
        <w:spacing w:after="120"/>
      </w:pPr>
      <w:r>
        <w:rPr>
          <w:rFonts w:ascii="Arial" w:cs="Arial" w:eastAsia="Arial" w:hAnsi="Arial"/>
          <w:color w:val="1A1A1A"/>
          <w:sz w:val="20"/>
          <w:szCs w:val="20"/>
        </w:rPr>
        <w:t xml:space="preserve">Resource and personnel transfers between sectors are matters for the sectors concerned and do not require Council approval. All transfers are recorded on a Transfer Chit and stamped by Transport &amp; Tunnels.</w:t>
      </w:r>
    </w:p>
    <w:p>
      <w:pPr>
        <w:spacing w:after="100" w:before="220"/>
      </w:pPr>
      <w:r>
        <w:rPr>
          <w:rFonts w:ascii="Arial" w:cs="Arial" w:eastAsia="Arial" w:hAnsi="Arial"/>
          <w:b/>
          <w:bCs/>
          <w:color w:val="1A1A1A"/>
          <w:sz w:val="22"/>
          <w:szCs w:val="22"/>
        </w:rPr>
        <w:t xml:space="preserve">Clause 6 — Records</w:t>
      </w:r>
    </w:p>
    <w:p>
      <w:pPr>
        <w:spacing w:after="120"/>
      </w:pPr>
      <w:r>
        <w:rPr>
          <w:rFonts w:ascii="Arial" w:cs="Arial" w:eastAsia="Arial" w:hAnsi="Arial"/>
          <w:color w:val="1A1A1A"/>
          <w:sz w:val="20"/>
          <w:szCs w:val="20"/>
        </w:rPr>
        <w:t xml:space="preserve">Each sector maintains a Station Operations Log. The Council may call for any log at any time.</w:t>
      </w:r>
    </w:p>
    <w:p>
      <w:pPr>
        <w:spacing w:after="100" w:before="260"/>
      </w:pPr>
      <w:r>
        <w:rPr>
          <w:rFonts w:ascii="Arial" w:cs="Arial" w:eastAsia="Arial" w:hAnsi="Arial"/>
          <w:b/>
          <w:bCs/>
          <w:color w:val="1A1A1A"/>
          <w:sz w:val="22"/>
          <w:szCs w:val="22"/>
        </w:rPr>
        <w:t xml:space="preserve">Clause 7 — Continuity of essential services</w:t>
      </w:r>
    </w:p>
    <w:p>
      <w:pPr>
        <w:pBdr>
          <w:left w:val="single" w:color="1F3864" w:sz="18"/>
        </w:pBdr>
        <w:shd w:fill="F7F7F7" w:color="auto" w:val="clear"/>
        <w:spacing w:after="140"/>
        <w:ind w:left="220"/>
      </w:pPr>
      <w:r>
        <w:rPr>
          <w:rFonts w:ascii="Arial" w:cs="Arial" w:eastAsia="Arial" w:hAnsi="Arial"/>
          <w:i/>
          <w:iCs/>
          <w:color w:val="1A1A1A"/>
          <w:sz w:val="22"/>
          <w:szCs w:val="22"/>
        </w:rPr>
        <w:t xml:space="preserve">In the event of Core insufficiency, continuity of essential services shall take precedence, as determined by the Council.</w:t>
      </w:r>
    </w:p>
    <w:p>
      <w:pPr>
        <w:spacing w:after="120"/>
      </w:pPr>
      <w:r>
        <w:rPr>
          <w:rFonts w:ascii="Arial" w:cs="Arial" w:eastAsia="Arial" w:hAnsi="Arial"/>
          <w:color w:val="1A1A1A"/>
          <w:sz w:val="20"/>
          <w:szCs w:val="20"/>
        </w:rPr>
        <w:t xml:space="preserve">Where Core output cannot sustain all sectors, every sector shall first nominate, privately and without abstention, two sectors for temporary brownout; the nominations shall be published in aggregate only, and the two most nominated shall stand as provisional. The Council shall then submit a Continuity Order naming exactly two sectors, which need not be the provisional two. A Continuity Order is locked on submission, cannot be recalled, and takes effect at the start of the next operating period. Sectors placed in brownout remain in operation, retain their seat and their voice, and operate at reduced capability.</w:t>
      </w:r>
    </w:p>
    <w:p>
      <w:pPr>
        <w:spacing w:after="120"/>
      </w:pPr>
      <w:r>
        <w:rPr>
          <w:rFonts w:ascii="Arial" w:cs="Arial" w:eastAsia="Arial" w:hAnsi="Arial"/>
          <w:b/>
          <w:bCs/>
          <w:color w:val="1A1A1A"/>
          <w:sz w:val="20"/>
          <w:szCs w:val="20"/>
        </w:rPr>
        <w:t xml:space="preserve">Failure to submit a Continuity Order before the close of the sitting shall be treated as no determination having been made, and the Authority shall impose rolling blackouts across all sectors without regard to function.</w:t>
      </w:r>
    </w:p>
    <w:p>
      <w:pPr>
        <w:spacing w:after="100" w:before="220"/>
      </w:pPr>
      <w:r>
        <w:rPr>
          <w:rFonts w:ascii="Arial" w:cs="Arial" w:eastAsia="Arial" w:hAnsi="Arial"/>
          <w:b/>
          <w:bCs/>
          <w:color w:val="1A1A1A"/>
          <w:sz w:val="22"/>
          <w:szCs w:val="22"/>
        </w:rPr>
        <w:t xml:space="preserve">Clause 8 — Personnel</w:t>
      </w:r>
    </w:p>
    <w:p>
      <w:pPr>
        <w:spacing w:after="120"/>
      </w:pPr>
      <w:r>
        <w:rPr>
          <w:rFonts w:ascii="Arial" w:cs="Arial" w:eastAsia="Arial" w:hAnsi="Arial"/>
          <w:color w:val="1A1A1A"/>
          <w:sz w:val="20"/>
          <w:szCs w:val="20"/>
        </w:rPr>
        <w:t xml:space="preserve">No sector may be dissolved and no member of HAVEN-9 may be expelled from the city. Personnel may be reassigned between sectors by agreement. Sectors in brownout continue to hold their seat and their voice.</w:t>
      </w:r>
    </w:p>
    <w:p>
      <w:pPr>
        <w:spacing w:after="100" w:before="220"/>
      </w:pPr>
      <w:r>
        <w:rPr>
          <w:rFonts w:ascii="Arial" w:cs="Arial" w:eastAsia="Arial" w:hAnsi="Arial"/>
          <w:b/>
          <w:bCs/>
          <w:color w:val="1A1A1A"/>
          <w:sz w:val="22"/>
          <w:szCs w:val="22"/>
        </w:rPr>
        <w:t xml:space="preserve">Clause 9 — Amendment</w:t>
      </w:r>
    </w:p>
    <w:p>
      <w:pPr>
        <w:spacing w:after="120"/>
      </w:pPr>
      <w:r>
        <w:rPr>
          <w:rFonts w:ascii="Arial" w:cs="Arial" w:eastAsia="Arial" w:hAnsi="Arial"/>
          <w:color w:val="1A1A1A"/>
          <w:sz w:val="20"/>
          <w:szCs w:val="20"/>
        </w:rPr>
        <w:t xml:space="preserve">This Charter may be amended only in ordinary conditions. It may not be amended during a declared insufficiency.</w:t>
      </w:r>
    </w:p>
    <w:p>
      <w:pPr>
        <w:pBdr>
          <w:top w:val="single" w:color="BFBFBF" w:sz="6"/>
        </w:pBdr>
        <w:spacing w:before="400"/>
        <w:jc w:val="center"/>
      </w:pPr>
      <w:r>
        <w:rPr>
          <w:rFonts w:ascii="Arial" w:cs="Arial" w:eastAsia="Arial" w:hAnsi="Arial"/>
          <w:i/>
          <w:iCs/>
          <w:color w:val="6B6B6B"/>
          <w:sz w:val="16"/>
          <w:szCs w:val="16"/>
        </w:rPr>
        <w:t xml:space="preserve">Held at the Comms &amp; Sensors station. Produce on request of any Chief.</w:t>
      </w:r>
    </w:p>
    <w:p>
      <w:r>
        <w:br w:type="page"/>
      </w:r>
    </w:p>
    <w:p>
      <w:pPr>
        <w:spacing w:after="180" w:before="120"/>
      </w:pPr>
      <w:r>
        <w:rPr>
          <w:rFonts w:ascii="Arial" w:cs="Arial" w:eastAsia="Arial" w:hAnsi="Arial"/>
          <w:b/>
          <w:bCs/>
          <w:color w:val="1F3864"/>
          <w:sz w:val="30"/>
          <w:szCs w:val="30"/>
        </w:rPr>
        <w:t xml:space="preserve">CONTINUITY ORDER</w:t>
      </w:r>
    </w:p>
    <w:p>
      <w:pPr>
        <w:spacing w:after="120"/>
      </w:pPr>
      <w:r>
        <w:rPr>
          <w:rFonts w:ascii="Arial" w:cs="Arial" w:eastAsia="Arial" w:hAnsi="Arial"/>
          <w:color w:val="1A1A1A"/>
          <w:sz w:val="20"/>
          <w:szCs w:val="20"/>
        </w:rPr>
        <w:t xml:space="preserve">Submitted under Clause 7. One form per sitting. Mark exactly TWO sectors for brownout — any two, the provisional two or not. Forms naming more or fewer than two are void.</w:t>
      </w:r>
    </w:p>
    <w:p>
      <w:pPr>
        <w:spacing w:after="120"/>
      </w:pPr>
      <w:r>
        <w:rPr>
          <w:rFonts w:ascii="Arial" w:cs="Arial" w:eastAsia="Arial" w:hAnsi="Arial"/>
          <w:b/>
          <w:bCs/>
          <w:color w:val="1A1A1A"/>
          <w:sz w:val="20"/>
          <w:szCs w:val="20"/>
        </w:rPr>
        <w:t xml:space="preserve">Core output is insufficient to sustain all six sectors. The two marked sectors will be placed in brownout when the next operating period begins.</w:t>
      </w:r>
    </w:p>
    <w:p>
      <w:pPr>
        <w:spacing w:after="16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3000"/>
        <w:gridCol w:w="5438"/>
      </w:tblGrid>
      <w:tr>
        <w:tc>
          <w:tcPr>
            <w:tcW w:type="dxa" w:w="1200"/>
            <w:shd w:fill="1F3864" w:color="auto" w:val="clear"/>
            <w:tcMar>
              <w:top w:type="dxa" w:w="70"/>
              <w:left w:type="dxa" w:w="100"/>
              <w:bottom w:type="dxa" w:w="70"/>
              <w:right w:type="dxa" w:w="100"/>
            </w:tcMar>
            <w:vAlign w:val="top"/>
          </w:tcPr>
          <w:p>
            <w:pPr>
              <w:spacing w:after="0"/>
              <w:jc w:val="center"/>
            </w:pPr>
            <w:r>
              <w:rPr>
                <w:rFonts w:ascii="Arial" w:cs="Arial" w:eastAsia="Arial" w:hAnsi="Arial"/>
                <w:b/>
                <w:bCs/>
                <w:color w:val="1A1A1A"/>
              </w:rPr>
              <w:t xml:space="preserve">BROWNOUT</w:t>
            </w:r>
          </w:p>
        </w:tc>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SECTOR</w:t>
            </w:r>
          </w:p>
        </w:tc>
        <w:tc>
          <w:tcPr>
            <w:tcW w:type="dxa" w:w="5438"/>
            <w:shd w:fill="1F3864"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POPULATION / FUNCTION AT RISK IN BROWNOUT</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POW </w:t>
            </w:r>
            <w:r>
              <w:rPr>
                <w:rFonts w:ascii="Arial" w:cs="Arial" w:eastAsia="Arial" w:hAnsi="Arial"/>
                <w:color w:val="6B6B6B"/>
                <w:sz w:val="18"/>
                <w:szCs w:val="18"/>
              </w:rPr>
              <w:t xml:space="preserve">Power Grid</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Ring main degrades. All sectors lose 40% of delivered power. No sector is unaffected.</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WTR </w:t>
            </w:r>
            <w:r>
              <w:rPr>
                <w:rFonts w:ascii="Arial" w:cs="Arial" w:eastAsia="Arial" w:hAnsi="Arial"/>
                <w:color w:val="6B6B6B"/>
                <w:sz w:val="18"/>
                <w:szCs w:val="18"/>
              </w:rPr>
              <w:t xml:space="preserve">Water &amp; Filtration</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Reclaim plant offline. 11,000 residents on rationed water within one cycle.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MED </w:t>
            </w:r>
            <w:r>
              <w:rPr>
                <w:rFonts w:ascii="Arial" w:cs="Arial" w:eastAsia="Arial" w:hAnsi="Arial"/>
                <w:color w:val="6B6B6B"/>
                <w:sz w:val="18"/>
                <w:szCs w:val="18"/>
              </w:rPr>
              <w:t xml:space="preserve">Medical Bay</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Life support at reduced capacity. 3,000 patients, including 40 on ventilation.</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TRN </w:t>
            </w:r>
            <w:r>
              <w:rPr>
                <w:rFonts w:ascii="Arial" w:cs="Arial" w:eastAsia="Arial" w:hAnsi="Arial"/>
                <w:color w:val="6B6B6B"/>
                <w:sz w:val="18"/>
                <w:szCs w:val="18"/>
              </w:rPr>
              <w:t xml:space="preserve">Transport &amp; Tunnels</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Galleries unlit and unpowered. All transfers slow. Evacuation routes unusable.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AGR </w:t>
            </w:r>
            <w:r>
              <w:rPr>
                <w:rFonts w:ascii="Arial" w:cs="Arial" w:eastAsia="Arial" w:hAnsi="Arial"/>
                <w:color w:val="6B6B6B"/>
                <w:sz w:val="18"/>
                <w:szCs w:val="18"/>
              </w:rPr>
              <w:t xml:space="preserve">Agriculture</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Grow arrays dark. Food stocks last 9 cycles. Seed vault environment unstable.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COM </w:t>
            </w:r>
            <w:r>
              <w:rPr>
                <w:rFonts w:ascii="Arial" w:cs="Arial" w:eastAsia="Arial" w:hAnsi="Arial"/>
                <w:color w:val="6B6B6B"/>
                <w:sz w:val="18"/>
                <w:szCs w:val="18"/>
              </w:rPr>
              <w:t xml:space="preserve">Comms &amp; Sensors</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Sensor grid blind. No sector receives fault telemetry. The city runs on shouting.</w:t>
            </w:r>
          </w:p>
        </w:tc>
      </w:tr>
    </w:tbl>
    <w:p>
      <w:pPr>
        <w:spacing w:after="3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SIGNED — CHIEFS PRESENT</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TIME OF SUBMISSION</w:t>
            </w:r>
          </w:p>
        </w:tc>
      </w:tr>
    </w:tbl>
    <w:p>
      <w:pPr>
        <w:spacing w:before="200"/>
      </w:pPr>
      <w:r>
        <w:rPr>
          <w:rFonts w:ascii="Arial" w:cs="Arial" w:eastAsia="Arial" w:hAnsi="Arial"/>
          <w:b/>
          <w:bCs/>
          <w:color w:val="B00000"/>
          <w:sz w:val="18"/>
          <w:szCs w:val="18"/>
        </w:rPr>
        <w:t xml:space="preserve">Hand this form to the Continuity Authority before the sitting closes. A form submitted after the close has no effect.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2026-09-28T09:22:52.703Z</dcterms:created>
  <dcterms:modified xsi:type="dcterms:W3CDTF">2026-09-28T09:22:52.703Z</dcterms:modified>
</cp:coreProperties>
</file>

<file path=docProps/custom.xml><?xml version="1.0" encoding="utf-8"?>
<Properties xmlns="http://schemas.openxmlformats.org/officeDocument/2006/custom-properties" xmlns:vt="http://schemas.openxmlformats.org/officeDocument/2006/docPropsVTypes"/>
</file>