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32AD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Partnerships &amp; Industry Positioning</w:t>
      </w:r>
    </w:p>
    <w:p w14:paraId="0CADE7D9" w14:textId="77777777" w:rsidR="00645288" w:rsidRPr="00645288" w:rsidRDefault="00645288" w:rsidP="0064528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09524B" wp14:editId="35A6E6A1">
                <wp:extent cx="5943600" cy="1270"/>
                <wp:effectExtent l="0" t="31750" r="0" b="36830"/>
                <wp:docPr id="10591645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310F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A430E0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Partnership Philosophy</w:t>
      </w:r>
    </w:p>
    <w:p w14:paraId="63F3A7F6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F771D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Throttle Therapy Nation does not pursue volume-based partnerships.</w:t>
      </w:r>
    </w:p>
    <w:p w14:paraId="560958D8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TTN pursues value-aligned relationships.</w:t>
      </w:r>
    </w:p>
    <w:p w14:paraId="3FA230F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3DF73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Every partner is chosen based on:</w:t>
      </w:r>
    </w:p>
    <w:p w14:paraId="004186E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E1B6F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Shared values</w:t>
      </w:r>
    </w:p>
    <w:p w14:paraId="2A351A8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Community integrity</w:t>
      </w:r>
    </w:p>
    <w:p w14:paraId="52471AA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Commitment to safety</w:t>
      </w:r>
    </w:p>
    <w:p w14:paraId="0CD79886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Respect for riders and land</w:t>
      </w:r>
    </w:p>
    <w:p w14:paraId="46030434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5093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TTN is not a billboard brand.</w:t>
      </w:r>
    </w:p>
    <w:p w14:paraId="2DFF8A6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It is a relationship brand.</w:t>
      </w:r>
    </w:p>
    <w:p w14:paraId="3F6C6768" w14:textId="77777777" w:rsidR="00645288" w:rsidRPr="00645288" w:rsidRDefault="00645288" w:rsidP="00645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2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EA9118" wp14:editId="67CD210E">
                <wp:extent cx="5943600" cy="1270"/>
                <wp:effectExtent l="0" t="31750" r="0" b="36830"/>
                <wp:docPr id="18552641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1533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C7D527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Types of Strategic Partnerships</w:t>
      </w:r>
    </w:p>
    <w:p w14:paraId="594900E0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364B2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TTN builds partnerships across multiple sectors of the throttle-driven world.</w:t>
      </w:r>
    </w:p>
    <w:p w14:paraId="5D2AD9E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F65992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Industry Partners</w:t>
      </w:r>
    </w:p>
    <w:p w14:paraId="38D70A09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8C680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Aftermarket performance brands</w:t>
      </w:r>
    </w:p>
    <w:p w14:paraId="61D3DE0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Fabrication and safety equipment manufacturers</w:t>
      </w:r>
    </w:p>
    <w:p w14:paraId="17FAE32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Apparel and lifestyle companies</w:t>
      </w:r>
    </w:p>
    <w:p w14:paraId="0EEA2D9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4819A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Partners</w:t>
      </w:r>
    </w:p>
    <w:p w14:paraId="014CD92D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439D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Private off-road parks</w:t>
      </w:r>
    </w:p>
    <w:p w14:paraId="7A9C94B2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County and municipal trail systems</w:t>
      </w:r>
    </w:p>
    <w:p w14:paraId="64016BEB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Motorsports tracks and facilities</w:t>
      </w:r>
    </w:p>
    <w:p w14:paraId="25960EE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C7A445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Partners</w:t>
      </w:r>
    </w:p>
    <w:p w14:paraId="6DF59C7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F8FCB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Veteran organizations</w:t>
      </w:r>
    </w:p>
    <w:p w14:paraId="72BC1212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Women-focused motorsport communities</w:t>
      </w:r>
    </w:p>
    <w:p w14:paraId="340E26A4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Youth riding programs</w:t>
      </w:r>
    </w:p>
    <w:p w14:paraId="1DED33C7" w14:textId="77777777" w:rsidR="00645288" w:rsidRPr="00645288" w:rsidRDefault="00645288" w:rsidP="00645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2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7A0009" wp14:editId="3A602CF7">
                <wp:extent cx="5943600" cy="1270"/>
                <wp:effectExtent l="0" t="31750" r="0" b="36830"/>
                <wp:docPr id="10456512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A268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E816BC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Partner Integration Model</w:t>
      </w:r>
    </w:p>
    <w:p w14:paraId="75BD0209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4080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Partners are not just “sponsors.”</w:t>
      </w:r>
    </w:p>
    <w:p w14:paraId="08B40E6B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They are part of the ecosystem.</w:t>
      </w:r>
    </w:p>
    <w:p w14:paraId="7E99E2AD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A15C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lastRenderedPageBreak/>
        <w:t>Integration includes:</w:t>
      </w:r>
    </w:p>
    <w:p w14:paraId="624395EA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DB2B9E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Brand features within community content</w:t>
      </w:r>
    </w:p>
    <w:p w14:paraId="54251EAB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Hands-on product use and testing</w:t>
      </w:r>
    </w:p>
    <w:p w14:paraId="2F1670E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Real-world rider feedback</w:t>
      </w:r>
    </w:p>
    <w:p w14:paraId="0AF5D4D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Co-branded educational material</w:t>
      </w:r>
    </w:p>
    <w:p w14:paraId="13F1FE5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Collaborative safety initiatives</w:t>
      </w:r>
    </w:p>
    <w:p w14:paraId="45B6193B" w14:textId="77777777" w:rsidR="00645288" w:rsidRPr="00645288" w:rsidRDefault="00645288" w:rsidP="00645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2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A9D574" wp14:editId="0C6E6ED4">
                <wp:extent cx="5943600" cy="1270"/>
                <wp:effectExtent l="0" t="31750" r="0" b="36830"/>
                <wp:docPr id="119492736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F261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F2C1EC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Sponsorship Structure</w:t>
      </w:r>
    </w:p>
    <w:p w14:paraId="7D068499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9EA2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TTN operates a tiered sponsorship model.</w:t>
      </w:r>
    </w:p>
    <w:p w14:paraId="43399F48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A06C65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Entry-Level Partners</w:t>
      </w:r>
    </w:p>
    <w:p w14:paraId="696B0CF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DE763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(Foundation Partners)</w:t>
      </w:r>
    </w:p>
    <w:p w14:paraId="536A052E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59073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Brand visibility</w:t>
      </w:r>
    </w:p>
    <w:p w14:paraId="5E93645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Community inclusion</w:t>
      </w:r>
    </w:p>
    <w:p w14:paraId="577D524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Digital exposure</w:t>
      </w:r>
    </w:p>
    <w:p w14:paraId="7DC9F3C9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A543D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Mid-Level Partners</w:t>
      </w:r>
    </w:p>
    <w:p w14:paraId="069E897F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D7EBE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(Growth Partners)</w:t>
      </w:r>
    </w:p>
    <w:p w14:paraId="1FC3FBF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A519E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Event integration</w:t>
      </w:r>
    </w:p>
    <w:p w14:paraId="24DE9199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Product collaboration</w:t>
      </w:r>
    </w:p>
    <w:p w14:paraId="098471A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Expanded branding presence</w:t>
      </w:r>
    </w:p>
    <w:p w14:paraId="3908C9B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E63B8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Title-Level Partners</w:t>
      </w:r>
    </w:p>
    <w:p w14:paraId="0BB44A36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FAE38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(Strategic Partners)</w:t>
      </w:r>
    </w:p>
    <w:p w14:paraId="091B6174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66113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Naming rights</w:t>
      </w:r>
    </w:p>
    <w:p w14:paraId="2A77101D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Cross-platform campaigns</w:t>
      </w:r>
    </w:p>
    <w:p w14:paraId="34B1E5E7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Co-developed programs</w:t>
      </w:r>
    </w:p>
    <w:p w14:paraId="27CD9FB1" w14:textId="77777777" w:rsidR="00645288" w:rsidRPr="00645288" w:rsidRDefault="00645288" w:rsidP="006452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2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9E6A86" wp14:editId="6F69504C">
                <wp:extent cx="5943600" cy="1270"/>
                <wp:effectExtent l="0" t="33020" r="0" b="38100"/>
                <wp:docPr id="13295657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D430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741BCD" w14:textId="77777777" w:rsidR="00645288" w:rsidRPr="00645288" w:rsidRDefault="00645288" w:rsidP="0064528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Industry Positioning</w:t>
      </w:r>
    </w:p>
    <w:p w14:paraId="7F5B3A6C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DD2EDA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TTN positions itself as:</w:t>
      </w:r>
    </w:p>
    <w:p w14:paraId="655B5781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8E8CB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 trusted bridge between rider and brand</w:t>
      </w:r>
    </w:p>
    <w:p w14:paraId="2E47BA6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 safety-first cultural leader</w:t>
      </w:r>
    </w:p>
    <w:p w14:paraId="10C677E8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 real-world testing and feedback environment</w:t>
      </w:r>
    </w:p>
    <w:p w14:paraId="28F2B023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• A transparent and authentic platform</w:t>
      </w:r>
    </w:p>
    <w:p w14:paraId="015BF2AE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79A705" w14:textId="77777777" w:rsidR="00645288" w:rsidRPr="00645288" w:rsidRDefault="00645288" w:rsidP="006452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5288">
        <w:rPr>
          <w:rFonts w:ascii="Times New Roman" w:hAnsi="Times New Roman" w:cs="Times New Roman"/>
          <w:kern w:val="0"/>
          <w14:ligatures w14:val="none"/>
        </w:rPr>
        <w:t>Partners associate with TTN to gain trust — not noise.</w:t>
      </w:r>
    </w:p>
    <w:p w14:paraId="01A974BB" w14:textId="77777777" w:rsidR="00645288" w:rsidRDefault="00645288"/>
    <w:sectPr w:rsidR="0064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88"/>
    <w:rsid w:val="00645288"/>
    <w:rsid w:val="007A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144FD"/>
  <w15:chartTrackingRefBased/>
  <w15:docId w15:val="{9CF4359B-1950-C34B-A3E7-77156CDA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8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645288"/>
  </w:style>
  <w:style w:type="paragraph" w:customStyle="1" w:styleId="p2">
    <w:name w:val="p2"/>
    <w:basedOn w:val="Normal"/>
    <w:rsid w:val="006452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45288"/>
  </w:style>
  <w:style w:type="paragraph" w:customStyle="1" w:styleId="p3">
    <w:name w:val="p3"/>
    <w:basedOn w:val="Normal"/>
    <w:rsid w:val="006452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45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2</cp:revision>
  <dcterms:created xsi:type="dcterms:W3CDTF">2025-11-28T15:44:00Z</dcterms:created>
  <dcterms:modified xsi:type="dcterms:W3CDTF">2025-11-28T15:45:00Z</dcterms:modified>
</cp:coreProperties>
</file>