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9FF5" w14:textId="77777777" w:rsidR="00CA26CA" w:rsidRPr="00CA26CA" w:rsidRDefault="00CA26CA" w:rsidP="00CA2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Appendix &amp; Supporting Materials</w:t>
      </w:r>
    </w:p>
    <w:p w14:paraId="7A2B6E5D" w14:textId="77777777" w:rsidR="00CA26CA" w:rsidRPr="00CA26CA" w:rsidRDefault="00CA26CA" w:rsidP="00CA26C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4B8550" wp14:editId="7D4615FE">
                <wp:extent cx="5943600" cy="1270"/>
                <wp:effectExtent l="0" t="31750" r="0" b="36830"/>
                <wp:docPr id="184765109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6F3E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35E95B" w14:textId="77777777" w:rsidR="00CA26CA" w:rsidRPr="00CA26CA" w:rsidRDefault="00CA26CA" w:rsidP="00CA26C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Documentation Library</w:t>
      </w:r>
    </w:p>
    <w:p w14:paraId="024646C4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1586AC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Throttle Therapy Nation maintains internal operational and safety documentation including:</w:t>
      </w:r>
    </w:p>
    <w:p w14:paraId="1DDC5A8B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8A39C0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Operating Agreements</w:t>
      </w:r>
    </w:p>
    <w:p w14:paraId="36D63785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Risk and liability disclaimers</w:t>
      </w:r>
    </w:p>
    <w:p w14:paraId="531CA8B4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Event participation waivers</w:t>
      </w:r>
    </w:p>
    <w:p w14:paraId="0D80F4DC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Media release forms</w:t>
      </w:r>
    </w:p>
    <w:p w14:paraId="273E4BE1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Fabrication risk acknowledgments</w:t>
      </w:r>
    </w:p>
    <w:p w14:paraId="1BF1B3CF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SOP manuals</w:t>
      </w:r>
    </w:p>
    <w:p w14:paraId="228BC11A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Emergency response frameworks</w:t>
      </w:r>
    </w:p>
    <w:p w14:paraId="667BBF0F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5DA0A1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These documents are maintained as part of TTN’s professional operational standards.</w:t>
      </w:r>
    </w:p>
    <w:p w14:paraId="06E815D6" w14:textId="77777777" w:rsidR="00CA26CA" w:rsidRPr="00CA26CA" w:rsidRDefault="00CA26CA" w:rsidP="00CA2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6C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C69981" wp14:editId="51FB9073">
                <wp:extent cx="5943600" cy="1270"/>
                <wp:effectExtent l="0" t="31750" r="0" b="36830"/>
                <wp:docPr id="164247567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E9AF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9A61F3" w14:textId="77777777" w:rsidR="00CA26CA" w:rsidRPr="00CA26CA" w:rsidRDefault="00CA26CA" w:rsidP="00CA26C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Training &amp; Safety Frameworks</w:t>
      </w:r>
    </w:p>
    <w:p w14:paraId="0DAC6B64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A09314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TTN maintains internal training systems focused on:</w:t>
      </w:r>
    </w:p>
    <w:p w14:paraId="6D371F22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B25661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Trail risk assessment</w:t>
      </w:r>
    </w:p>
    <w:p w14:paraId="32A8D12F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lastRenderedPageBreak/>
        <w:t>• Rider readiness evaluation</w:t>
      </w:r>
    </w:p>
    <w:p w14:paraId="116DBAFD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Emergency communication protocols</w:t>
      </w:r>
    </w:p>
    <w:p w14:paraId="39AB3741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Equipment safety awareness</w:t>
      </w:r>
    </w:p>
    <w:p w14:paraId="78738D0E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F74721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This framework allows TTN to scale responsibly while maintaining rider and partner protection.</w:t>
      </w:r>
    </w:p>
    <w:p w14:paraId="407065D3" w14:textId="77777777" w:rsidR="00CA26CA" w:rsidRPr="00CA26CA" w:rsidRDefault="00CA26CA" w:rsidP="00CA2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6C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E17A86" wp14:editId="77262BFC">
                <wp:extent cx="5943600" cy="1270"/>
                <wp:effectExtent l="0" t="31750" r="0" b="36830"/>
                <wp:docPr id="39294436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EA97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FF2945" w14:textId="77777777" w:rsidR="00CA26CA" w:rsidRPr="00CA26CA" w:rsidRDefault="00CA26CA" w:rsidP="00CA26C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Intellectual Property &amp; Brand Protection</w:t>
      </w:r>
    </w:p>
    <w:p w14:paraId="01DEF8D6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FCE921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TTN actively protects its:</w:t>
      </w:r>
    </w:p>
    <w:p w14:paraId="3E888A75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347177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Brand identity</w:t>
      </w:r>
    </w:p>
    <w:p w14:paraId="51F1963B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Logos and marks</w:t>
      </w:r>
    </w:p>
    <w:p w14:paraId="3C1D3185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Taglines and slogans</w:t>
      </w:r>
    </w:p>
    <w:p w14:paraId="47019E39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Original mapping concepts</w:t>
      </w:r>
    </w:p>
    <w:p w14:paraId="241FC18F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Educational systems</w:t>
      </w:r>
    </w:p>
    <w:p w14:paraId="71513E0C" w14:textId="77777777" w:rsidR="00CA26CA" w:rsidRPr="00CA26CA" w:rsidRDefault="00CA26CA" w:rsidP="00CA2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6C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72636D" wp14:editId="555D1042">
                <wp:extent cx="5943600" cy="1270"/>
                <wp:effectExtent l="0" t="33020" r="0" b="38100"/>
                <wp:docPr id="9080150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862D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C64DEA" w14:textId="77777777" w:rsidR="00CA26CA" w:rsidRPr="00CA26CA" w:rsidRDefault="00CA26CA" w:rsidP="00CA26C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6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Future Development Projects</w:t>
      </w:r>
    </w:p>
    <w:p w14:paraId="56A7F814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E4EA97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Planned expansion initiatives include:</w:t>
      </w:r>
    </w:p>
    <w:p w14:paraId="5D0855BB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DCD96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Multi-park mapping integrations</w:t>
      </w:r>
    </w:p>
    <w:p w14:paraId="2954C77D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National throttle-community platform</w:t>
      </w:r>
    </w:p>
    <w:p w14:paraId="3475D1A4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Expanded fabrication development</w:t>
      </w:r>
    </w:p>
    <w:p w14:paraId="26F84224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lastRenderedPageBreak/>
        <w:t>• Regional partner programs</w:t>
      </w:r>
    </w:p>
    <w:p w14:paraId="1D0E3672" w14:textId="77777777" w:rsidR="00CA26CA" w:rsidRPr="00CA26CA" w:rsidRDefault="00CA26CA" w:rsidP="00CA26C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A26CA">
        <w:rPr>
          <w:rFonts w:ascii="Times New Roman" w:hAnsi="Times New Roman" w:cs="Times New Roman"/>
          <w:kern w:val="0"/>
          <w14:ligatures w14:val="none"/>
        </w:rPr>
        <w:t>• Education and certification modules</w:t>
      </w:r>
    </w:p>
    <w:p w14:paraId="5D1E7077" w14:textId="77777777" w:rsidR="00CA26CA" w:rsidRDefault="00CA26CA"/>
    <w:sectPr w:rsidR="00CA2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CA"/>
    <w:rsid w:val="007A27D2"/>
    <w:rsid w:val="00994C38"/>
    <w:rsid w:val="00CA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6ACF6"/>
  <w15:chartTrackingRefBased/>
  <w15:docId w15:val="{48C36992-4DAC-5D46-9A88-7137B0AB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CA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CA26CA"/>
  </w:style>
  <w:style w:type="paragraph" w:customStyle="1" w:styleId="p2">
    <w:name w:val="p2"/>
    <w:basedOn w:val="Normal"/>
    <w:rsid w:val="00CA26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A26CA"/>
  </w:style>
  <w:style w:type="paragraph" w:customStyle="1" w:styleId="p3">
    <w:name w:val="p3"/>
    <w:basedOn w:val="Normal"/>
    <w:rsid w:val="00CA26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3</cp:revision>
  <dcterms:created xsi:type="dcterms:W3CDTF">2025-11-28T15:46:00Z</dcterms:created>
  <dcterms:modified xsi:type="dcterms:W3CDTF">2025-11-28T15:47:00Z</dcterms:modified>
</cp:coreProperties>
</file>