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B020" w14:textId="77777777" w:rsidR="00CB0946" w:rsidRPr="00CB0946" w:rsidRDefault="00CB0946" w:rsidP="00CB09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9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Financial Strategy &amp; Capital Use</w:t>
      </w:r>
    </w:p>
    <w:p w14:paraId="3C7A6A15" w14:textId="77777777" w:rsidR="00CB0946" w:rsidRPr="00CB0946" w:rsidRDefault="00CB0946" w:rsidP="00CB094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53B88C" wp14:editId="70DBB58A">
                <wp:extent cx="5943600" cy="1270"/>
                <wp:effectExtent l="0" t="31750" r="0" b="36830"/>
                <wp:docPr id="112548334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9F06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4472C9" w14:textId="77777777" w:rsidR="00CB0946" w:rsidRPr="00CB0946" w:rsidRDefault="00CB0946" w:rsidP="00CB094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Financial Philosophy</w:t>
      </w:r>
    </w:p>
    <w:p w14:paraId="3FF44F14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8A85BD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Throttle Therapy Nation is not designed to grow fast — it is designed to grow correctly.</w:t>
      </w:r>
    </w:p>
    <w:p w14:paraId="4F396479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D0545D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The financial strategy prioritizes:</w:t>
      </w:r>
    </w:p>
    <w:p w14:paraId="3E416EE5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480B60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Sustainability over shortcuts</w:t>
      </w:r>
    </w:p>
    <w:p w14:paraId="39E946F4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Infrastructure over optics</w:t>
      </w:r>
    </w:p>
    <w:p w14:paraId="4553D9D4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Integrity over hype</w:t>
      </w:r>
    </w:p>
    <w:p w14:paraId="3CD87607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Safety over speed</w:t>
      </w:r>
    </w:p>
    <w:p w14:paraId="5734C67B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AF31A8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Every financial decision is designed to protect the long-term health of the brand, the community, and the riders served.</w:t>
      </w:r>
    </w:p>
    <w:p w14:paraId="4210ACC2" w14:textId="77777777" w:rsidR="00CB0946" w:rsidRPr="00CB0946" w:rsidRDefault="00CB0946" w:rsidP="00CB09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4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D05171" wp14:editId="4DD11B84">
                <wp:extent cx="5943600" cy="1270"/>
                <wp:effectExtent l="0" t="31750" r="0" b="36830"/>
                <wp:docPr id="19184989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7A7B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C06732" w14:textId="77777777" w:rsidR="00CB0946" w:rsidRPr="00CB0946" w:rsidRDefault="00CB0946" w:rsidP="00CB094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Revenue Model Overview</w:t>
      </w:r>
    </w:p>
    <w:p w14:paraId="34439F0A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390D1D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TTN operates under a diversified, multi-stream revenue model that reduces dependence on any single source.</w:t>
      </w:r>
    </w:p>
    <w:p w14:paraId="24B8DA25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95714A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Primary revenue channels include:</w:t>
      </w:r>
    </w:p>
    <w:p w14:paraId="1A281866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3CC5D8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Sponsorship partnerships</w:t>
      </w:r>
    </w:p>
    <w:p w14:paraId="297E9935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Dealer and affiliate relationships</w:t>
      </w:r>
    </w:p>
    <w:p w14:paraId="78C84065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Fabrication services (Axle &amp; Arc Fab)</w:t>
      </w:r>
    </w:p>
    <w:p w14:paraId="355B6119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Digital mapping and navigation systems</w:t>
      </w:r>
    </w:p>
    <w:p w14:paraId="0DA8C00C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Merchandise and branded apparel</w:t>
      </w:r>
    </w:p>
    <w:p w14:paraId="1DDC362C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Events and rider experiences</w:t>
      </w:r>
    </w:p>
    <w:p w14:paraId="2416F719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124E01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This blended structure supports stability, flexibility, and scale.</w:t>
      </w:r>
    </w:p>
    <w:p w14:paraId="7947409F" w14:textId="77777777" w:rsidR="00CB0946" w:rsidRPr="00CB0946" w:rsidRDefault="00CB0946" w:rsidP="00CB09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4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196B05" wp14:editId="6C2B9760">
                <wp:extent cx="5943600" cy="1270"/>
                <wp:effectExtent l="0" t="31750" r="0" b="36830"/>
                <wp:docPr id="71955144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51B2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86FFCF" w14:textId="77777777" w:rsidR="00CB0946" w:rsidRPr="00CB0946" w:rsidRDefault="00CB0946" w:rsidP="00CB094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Capital Use Strategy</w:t>
      </w:r>
    </w:p>
    <w:p w14:paraId="7F107F30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EC5038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Capital invested into or generated by TTN is strategically directed into:</w:t>
      </w:r>
    </w:p>
    <w:p w14:paraId="22CE50E2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01AE17" w14:textId="77777777" w:rsidR="00CB0946" w:rsidRPr="00CB0946" w:rsidRDefault="00CB0946" w:rsidP="00CB09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9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</w:t>
      </w:r>
    </w:p>
    <w:p w14:paraId="3B8086D7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C1C1D1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Digital platforms</w:t>
      </w:r>
    </w:p>
    <w:p w14:paraId="4035555A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Mapping development</w:t>
      </w:r>
    </w:p>
    <w:p w14:paraId="59184326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Data systems</w:t>
      </w:r>
    </w:p>
    <w:p w14:paraId="12D4E066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Internal tools</w:t>
      </w:r>
    </w:p>
    <w:p w14:paraId="0BB1697F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28E8B5" w14:textId="77777777" w:rsidR="00CB0946" w:rsidRPr="00CB0946" w:rsidRDefault="00CB0946" w:rsidP="00CB09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9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Physical Assets</w:t>
      </w:r>
    </w:p>
    <w:p w14:paraId="2C742ABE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987D55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lastRenderedPageBreak/>
        <w:t>• Fabrication tools and safety equipment</w:t>
      </w:r>
    </w:p>
    <w:p w14:paraId="180D1C91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Mobile operational assets</w:t>
      </w:r>
    </w:p>
    <w:p w14:paraId="4A0DB5BA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Event-support equipment</w:t>
      </w:r>
    </w:p>
    <w:p w14:paraId="0B016C40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A29842" w14:textId="77777777" w:rsidR="00CB0946" w:rsidRPr="00CB0946" w:rsidRDefault="00CB0946" w:rsidP="00CB09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9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Brand &amp; Community Growth</w:t>
      </w:r>
    </w:p>
    <w:p w14:paraId="08B800FC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0A7155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Content creation</w:t>
      </w:r>
    </w:p>
    <w:p w14:paraId="29AA7CAF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Community leadership development</w:t>
      </w:r>
    </w:p>
    <w:p w14:paraId="0C7DFEE6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Educational materials</w:t>
      </w:r>
    </w:p>
    <w:p w14:paraId="58A86F4E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Safety campaigns</w:t>
      </w:r>
    </w:p>
    <w:p w14:paraId="50C2F48D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2CB0AB" w14:textId="77777777" w:rsidR="00CB0946" w:rsidRPr="00CB0946" w:rsidRDefault="00CB0946" w:rsidP="00CB09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9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Legal &amp; Compliance</w:t>
      </w:r>
    </w:p>
    <w:p w14:paraId="67827C17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DF74BF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Insurance</w:t>
      </w:r>
    </w:p>
    <w:p w14:paraId="7E8E768F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Legal frameworks</w:t>
      </w:r>
    </w:p>
    <w:p w14:paraId="3A674E7A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Licensing and protection</w:t>
      </w:r>
    </w:p>
    <w:p w14:paraId="283A61D5" w14:textId="77777777" w:rsidR="00CB0946" w:rsidRPr="00CB0946" w:rsidRDefault="00CB0946" w:rsidP="00CB09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4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5B21AE" wp14:editId="4627E7F4">
                <wp:extent cx="5943600" cy="1270"/>
                <wp:effectExtent l="0" t="31750" r="0" b="36830"/>
                <wp:docPr id="57303184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FC30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C7F51B" w14:textId="77777777" w:rsidR="00CB0946" w:rsidRPr="00CB0946" w:rsidRDefault="00CB0946" w:rsidP="00CB094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Funding Readiness</w:t>
      </w:r>
    </w:p>
    <w:p w14:paraId="2C12E6A6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273FF9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TTN is positioned for strategic funding through:</w:t>
      </w:r>
    </w:p>
    <w:p w14:paraId="38CE3336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8F6CEB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Angel investors</w:t>
      </w:r>
    </w:p>
    <w:p w14:paraId="6E524617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Strategic brand partners</w:t>
      </w:r>
    </w:p>
    <w:p w14:paraId="6557CE93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lastRenderedPageBreak/>
        <w:t>• Industry-aligned private backers</w:t>
      </w:r>
    </w:p>
    <w:p w14:paraId="749CBEBB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• Development-based sponsorship</w:t>
      </w:r>
    </w:p>
    <w:p w14:paraId="3C4E0A43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EC8F9F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Funding is not sought for concept development — it is sought for scaling an already built foundation.</w:t>
      </w:r>
    </w:p>
    <w:p w14:paraId="464E9416" w14:textId="77777777" w:rsidR="00CB0946" w:rsidRPr="00CB0946" w:rsidRDefault="00CB0946" w:rsidP="00CB09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4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FA4A05" wp14:editId="33F65525">
                <wp:extent cx="5943600" cy="1270"/>
                <wp:effectExtent l="0" t="33020" r="0" b="38100"/>
                <wp:docPr id="22549108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1E06D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93FB37" w14:textId="77777777" w:rsidR="00CB0946" w:rsidRPr="00CB0946" w:rsidRDefault="00CB0946" w:rsidP="00CB094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Financial Stage Positioning</w:t>
      </w:r>
    </w:p>
    <w:p w14:paraId="7B19440B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545CC0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TTN currently operates in a:</w:t>
      </w:r>
    </w:p>
    <w:p w14:paraId="2676E3E1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10F612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Segoe UI Symbol" w:hAnsi="Segoe UI Symbol" w:cs="Segoe UI Symbol"/>
          <w:kern w:val="0"/>
          <w14:ligatures w14:val="none"/>
        </w:rPr>
        <w:t>✓</w:t>
      </w:r>
      <w:r w:rsidRPr="00CB0946">
        <w:rPr>
          <w:rFonts w:ascii="Times New Roman" w:hAnsi="Times New Roman" w:cs="Times New Roman"/>
          <w:kern w:val="0"/>
          <w14:ligatures w14:val="none"/>
        </w:rPr>
        <w:t xml:space="preserve"> Proof-of-concept completed stage</w:t>
      </w:r>
    </w:p>
    <w:p w14:paraId="37BCE762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Segoe UI Symbol" w:hAnsi="Segoe UI Symbol" w:cs="Segoe UI Symbol"/>
          <w:kern w:val="0"/>
          <w14:ligatures w14:val="none"/>
        </w:rPr>
        <w:t>✓</w:t>
      </w:r>
      <w:r w:rsidRPr="00CB0946">
        <w:rPr>
          <w:rFonts w:ascii="Times New Roman" w:hAnsi="Times New Roman" w:cs="Times New Roman"/>
          <w:kern w:val="0"/>
          <w14:ligatures w14:val="none"/>
        </w:rPr>
        <w:t xml:space="preserve"> Infrastructure established stage</w:t>
      </w:r>
    </w:p>
    <w:p w14:paraId="65056215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Segoe UI Symbol" w:hAnsi="Segoe UI Symbol" w:cs="Segoe UI Symbol"/>
          <w:kern w:val="0"/>
          <w14:ligatures w14:val="none"/>
        </w:rPr>
        <w:t>✓</w:t>
      </w:r>
      <w:r w:rsidRPr="00CB0946">
        <w:rPr>
          <w:rFonts w:ascii="Times New Roman" w:hAnsi="Times New Roman" w:cs="Times New Roman"/>
          <w:kern w:val="0"/>
          <w14:ligatures w14:val="none"/>
        </w:rPr>
        <w:t xml:space="preserve"> Pilot operations phase</w:t>
      </w:r>
    </w:p>
    <w:p w14:paraId="1A90A469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Segoe UI Symbol" w:hAnsi="Segoe UI Symbol" w:cs="Segoe UI Symbol"/>
          <w:kern w:val="0"/>
          <w14:ligatures w14:val="none"/>
        </w:rPr>
        <w:t>✓</w:t>
      </w:r>
      <w:r w:rsidRPr="00CB0946">
        <w:rPr>
          <w:rFonts w:ascii="Times New Roman" w:hAnsi="Times New Roman" w:cs="Times New Roman"/>
          <w:kern w:val="0"/>
          <w14:ligatures w14:val="none"/>
        </w:rPr>
        <w:t xml:space="preserve"> Expansion-ready phase</w:t>
      </w:r>
    </w:p>
    <w:p w14:paraId="3A000F62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5B0821" w14:textId="77777777" w:rsidR="00CB0946" w:rsidRPr="00CB0946" w:rsidRDefault="00CB0946" w:rsidP="00CB094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0946">
        <w:rPr>
          <w:rFonts w:ascii="Times New Roman" w:hAnsi="Times New Roman" w:cs="Times New Roman"/>
          <w:kern w:val="0"/>
          <w14:ligatures w14:val="none"/>
        </w:rPr>
        <w:t>This positions the brand for structured investment rather than speculative funding.</w:t>
      </w:r>
    </w:p>
    <w:p w14:paraId="6F2EC865" w14:textId="77777777" w:rsidR="00CB0946" w:rsidRDefault="00CB0946"/>
    <w:sectPr w:rsidR="00CB0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46"/>
    <w:rsid w:val="007A27D2"/>
    <w:rsid w:val="00CB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B5F32"/>
  <w15:chartTrackingRefBased/>
  <w15:docId w15:val="{51DC9244-BB50-4B40-AD27-3C6DA456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0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946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CB0946"/>
  </w:style>
  <w:style w:type="paragraph" w:customStyle="1" w:styleId="p2">
    <w:name w:val="p2"/>
    <w:basedOn w:val="Normal"/>
    <w:rsid w:val="00CB094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B0946"/>
  </w:style>
  <w:style w:type="paragraph" w:customStyle="1" w:styleId="p3">
    <w:name w:val="p3"/>
    <w:basedOn w:val="Normal"/>
    <w:rsid w:val="00CB094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B0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2</cp:revision>
  <dcterms:created xsi:type="dcterms:W3CDTF">2025-11-28T15:46:00Z</dcterms:created>
  <dcterms:modified xsi:type="dcterms:W3CDTF">2025-11-28T15:46:00Z</dcterms:modified>
</cp:coreProperties>
</file>