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DA65" w14:textId="77777777" w:rsidR="00AE6271" w:rsidRDefault="00000000">
      <w:pPr>
        <w:spacing w:after="200"/>
        <w:jc w:val="center"/>
      </w:pPr>
      <w:r>
        <w:rPr>
          <w:noProof/>
        </w:rPr>
        <w:drawing>
          <wp:inline distT="0" distB="0" distL="0" distR="0" wp14:anchorId="7462A6AF" wp14:editId="07A16AB5">
            <wp:extent cx="2011680" cy="5565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011680" cy="556591"/>
                    </a:xfrm>
                    <a:prstGeom prst="rect">
                      <a:avLst/>
                    </a:prstGeom>
                  </pic:spPr>
                </pic:pic>
              </a:graphicData>
            </a:graphic>
          </wp:inline>
        </w:drawing>
      </w:r>
    </w:p>
    <w:p w14:paraId="02B94324" w14:textId="77777777" w:rsidR="00AE6271" w:rsidRDefault="00000000">
      <w:pPr>
        <w:spacing w:after="280" w:line="360" w:lineRule="auto"/>
        <w:jc w:val="center"/>
      </w:pPr>
      <w:r>
        <w:rPr>
          <w:b/>
          <w:color w:val="000000"/>
          <w:sz w:val="28"/>
        </w:rPr>
        <w:t>BCSE497J - Project-I</w:t>
      </w:r>
    </w:p>
    <w:p w14:paraId="18516584" w14:textId="77777777" w:rsidR="00AE6271" w:rsidRDefault="00000000">
      <w:pPr>
        <w:spacing w:after="400" w:line="360" w:lineRule="auto"/>
        <w:jc w:val="center"/>
      </w:pPr>
      <w:r>
        <w:rPr>
          <w:b/>
          <w:color w:val="000000"/>
          <w:sz w:val="32"/>
        </w:rPr>
        <w:t>FED-PHENOGRAFT: PHENOTYPE-GUIDED ASYMMETRIC CROSS-MODAL ATTENTION WITH SHARED-PRIVATE LATENT DECOMPOSITION FOR FEDERATED MULTI-MODAL PARKINSON'S DISEASE PREDICTION</w:t>
      </w:r>
    </w:p>
    <w:tbl>
      <w:tblPr>
        <w:tblW w:w="0" w:type="auto"/>
        <w:jc w:val="center"/>
        <w:tblLook w:val="04A0" w:firstRow="1" w:lastRow="0" w:firstColumn="1" w:lastColumn="0" w:noHBand="0" w:noVBand="1"/>
      </w:tblPr>
      <w:tblGrid>
        <w:gridCol w:w="2736"/>
        <w:gridCol w:w="4608"/>
      </w:tblGrid>
      <w:tr w:rsidR="00AE6271" w14:paraId="5275D680" w14:textId="77777777">
        <w:trPr>
          <w:jc w:val="center"/>
        </w:trPr>
        <w:tc>
          <w:tcPr>
            <w:tcW w:w="2736" w:type="dxa"/>
          </w:tcPr>
          <w:p w14:paraId="05B03D98" w14:textId="77777777" w:rsidR="00AE6271" w:rsidRDefault="00000000">
            <w:pPr>
              <w:spacing w:line="360" w:lineRule="auto"/>
              <w:jc w:val="center"/>
            </w:pPr>
            <w:r>
              <w:rPr>
                <w:b/>
                <w:color w:val="000000"/>
                <w:sz w:val="26"/>
              </w:rPr>
              <w:t>23BCE2327</w:t>
            </w:r>
          </w:p>
        </w:tc>
        <w:tc>
          <w:tcPr>
            <w:tcW w:w="4608" w:type="dxa"/>
          </w:tcPr>
          <w:p w14:paraId="5537A305" w14:textId="77777777" w:rsidR="00AE6271" w:rsidRDefault="00000000">
            <w:pPr>
              <w:spacing w:line="360" w:lineRule="auto"/>
              <w:jc w:val="center"/>
            </w:pPr>
            <w:r>
              <w:rPr>
                <w:b/>
                <w:color w:val="000000"/>
                <w:sz w:val="26"/>
              </w:rPr>
              <w:t>AMIT ADHIKARI</w:t>
            </w:r>
          </w:p>
        </w:tc>
      </w:tr>
      <w:tr w:rsidR="00AE6271" w14:paraId="5935FEB2" w14:textId="77777777">
        <w:trPr>
          <w:jc w:val="center"/>
        </w:trPr>
        <w:tc>
          <w:tcPr>
            <w:tcW w:w="2736" w:type="dxa"/>
          </w:tcPr>
          <w:p w14:paraId="0DB2C49E" w14:textId="77777777" w:rsidR="00AE6271" w:rsidRDefault="00000000">
            <w:pPr>
              <w:spacing w:line="360" w:lineRule="auto"/>
              <w:jc w:val="center"/>
            </w:pPr>
            <w:r>
              <w:rPr>
                <w:b/>
                <w:color w:val="000000"/>
                <w:sz w:val="26"/>
              </w:rPr>
              <w:t>23BCE2330</w:t>
            </w:r>
          </w:p>
        </w:tc>
        <w:tc>
          <w:tcPr>
            <w:tcW w:w="4608" w:type="dxa"/>
          </w:tcPr>
          <w:p w14:paraId="1E2DAC41" w14:textId="77777777" w:rsidR="00AE6271" w:rsidRDefault="00000000">
            <w:pPr>
              <w:spacing w:line="360" w:lineRule="auto"/>
              <w:jc w:val="center"/>
            </w:pPr>
            <w:r>
              <w:rPr>
                <w:b/>
                <w:color w:val="000000"/>
                <w:sz w:val="26"/>
              </w:rPr>
              <w:t>SHREEYAM ACHARYA</w:t>
            </w:r>
          </w:p>
        </w:tc>
      </w:tr>
      <w:tr w:rsidR="00AE6271" w14:paraId="3A7774B3" w14:textId="77777777">
        <w:trPr>
          <w:jc w:val="center"/>
        </w:trPr>
        <w:tc>
          <w:tcPr>
            <w:tcW w:w="2736" w:type="dxa"/>
          </w:tcPr>
          <w:p w14:paraId="0778DEA4" w14:textId="77777777" w:rsidR="00AE6271" w:rsidRDefault="00000000">
            <w:pPr>
              <w:spacing w:line="360" w:lineRule="auto"/>
              <w:jc w:val="center"/>
            </w:pPr>
            <w:r>
              <w:rPr>
                <w:b/>
                <w:color w:val="000000"/>
                <w:sz w:val="26"/>
              </w:rPr>
              <w:t>23BCE2336</w:t>
            </w:r>
          </w:p>
        </w:tc>
        <w:tc>
          <w:tcPr>
            <w:tcW w:w="4608" w:type="dxa"/>
          </w:tcPr>
          <w:p w14:paraId="4301E33D" w14:textId="77777777" w:rsidR="00AE6271" w:rsidRDefault="00000000">
            <w:pPr>
              <w:spacing w:line="360" w:lineRule="auto"/>
              <w:jc w:val="center"/>
            </w:pPr>
            <w:r>
              <w:rPr>
                <w:b/>
                <w:color w:val="000000"/>
                <w:sz w:val="26"/>
              </w:rPr>
              <w:t>SAURAV KUMAR GUPTA</w:t>
            </w:r>
          </w:p>
        </w:tc>
      </w:tr>
    </w:tbl>
    <w:p w14:paraId="13C4D331" w14:textId="77777777" w:rsidR="00AE6271" w:rsidRDefault="00AE6271">
      <w:pPr>
        <w:spacing w:after="200" w:line="276" w:lineRule="auto"/>
      </w:pPr>
    </w:p>
    <w:p w14:paraId="00E6C251" w14:textId="77777777" w:rsidR="00AE6271" w:rsidRDefault="00000000">
      <w:pPr>
        <w:spacing w:after="120" w:line="360" w:lineRule="auto"/>
        <w:jc w:val="center"/>
      </w:pPr>
      <w:r>
        <w:rPr>
          <w:color w:val="000000"/>
          <w:sz w:val="26"/>
        </w:rPr>
        <w:t>Under the Supervision of</w:t>
      </w:r>
    </w:p>
    <w:p w14:paraId="2FB943CA" w14:textId="77777777" w:rsidR="00AE6271" w:rsidRDefault="00000000">
      <w:pPr>
        <w:spacing w:after="40" w:line="360" w:lineRule="auto"/>
        <w:jc w:val="center"/>
      </w:pPr>
      <w:r>
        <w:rPr>
          <w:b/>
          <w:color w:val="000000"/>
          <w:sz w:val="26"/>
        </w:rPr>
        <w:t>Dhivyaa C R</w:t>
      </w:r>
    </w:p>
    <w:p w14:paraId="73297350" w14:textId="77777777" w:rsidR="0008591A" w:rsidRDefault="0008591A">
      <w:pPr>
        <w:spacing w:after="40" w:line="360" w:lineRule="auto"/>
        <w:jc w:val="center"/>
        <w:rPr>
          <w:color w:val="000000"/>
          <w:sz w:val="26"/>
        </w:rPr>
      </w:pPr>
      <w:r w:rsidRPr="0008591A">
        <w:rPr>
          <w:color w:val="000000"/>
          <w:sz w:val="26"/>
        </w:rPr>
        <w:t>Assistant Professor Senior Grade 1</w:t>
      </w:r>
    </w:p>
    <w:p w14:paraId="1C4645E2" w14:textId="6D97C9E6" w:rsidR="00AE6271" w:rsidRDefault="00000000">
      <w:pPr>
        <w:spacing w:after="40" w:line="360" w:lineRule="auto"/>
        <w:jc w:val="center"/>
      </w:pPr>
      <w:r>
        <w:rPr>
          <w:color w:val="000000"/>
          <w:sz w:val="26"/>
        </w:rPr>
        <w:t>School of Computer Science and Engineering (SCOPE)</w:t>
      </w:r>
    </w:p>
    <w:p w14:paraId="4EF3B0D0" w14:textId="77777777" w:rsidR="00AE6271" w:rsidRDefault="00AE6271">
      <w:pPr>
        <w:spacing w:after="240" w:line="276" w:lineRule="auto"/>
      </w:pPr>
    </w:p>
    <w:p w14:paraId="75D300DD" w14:textId="77777777" w:rsidR="00AE6271" w:rsidRDefault="00000000">
      <w:pPr>
        <w:spacing w:after="40" w:line="360" w:lineRule="auto"/>
        <w:jc w:val="center"/>
      </w:pPr>
      <w:r>
        <w:rPr>
          <w:b/>
          <w:color w:val="000000"/>
          <w:sz w:val="26"/>
        </w:rPr>
        <w:t>B.Tech.</w:t>
      </w:r>
    </w:p>
    <w:p w14:paraId="3AD50E4E" w14:textId="77777777" w:rsidR="00AE6271" w:rsidRDefault="00000000">
      <w:pPr>
        <w:spacing w:after="40" w:line="360" w:lineRule="auto"/>
        <w:jc w:val="center"/>
      </w:pPr>
      <w:r>
        <w:rPr>
          <w:b/>
          <w:color w:val="000000"/>
          <w:sz w:val="26"/>
        </w:rPr>
        <w:t>in</w:t>
      </w:r>
    </w:p>
    <w:p w14:paraId="1A928F18" w14:textId="77777777" w:rsidR="00AE6271" w:rsidRDefault="00000000">
      <w:pPr>
        <w:spacing w:after="40" w:line="360" w:lineRule="auto"/>
        <w:jc w:val="center"/>
      </w:pPr>
      <w:r>
        <w:rPr>
          <w:b/>
          <w:color w:val="000000"/>
          <w:sz w:val="26"/>
        </w:rPr>
        <w:t>Computer Science and Engineering</w:t>
      </w:r>
    </w:p>
    <w:p w14:paraId="03884D83" w14:textId="77777777" w:rsidR="00AE6271" w:rsidRDefault="00000000">
      <w:pPr>
        <w:spacing w:after="40" w:line="360" w:lineRule="auto"/>
        <w:jc w:val="center"/>
      </w:pPr>
      <w:r>
        <w:rPr>
          <w:b/>
          <w:color w:val="000000"/>
          <w:sz w:val="26"/>
        </w:rPr>
        <w:t>School of Computer Science and Engineering</w:t>
      </w:r>
    </w:p>
    <w:p w14:paraId="1F123A23" w14:textId="77777777" w:rsidR="00AE6271" w:rsidRDefault="00000000">
      <w:pPr>
        <w:spacing w:before="240" w:line="360" w:lineRule="auto"/>
        <w:jc w:val="center"/>
      </w:pPr>
      <w:r>
        <w:rPr>
          <w:b/>
          <w:color w:val="000000"/>
          <w:sz w:val="26"/>
        </w:rPr>
        <w:t>September 2026</w:t>
      </w:r>
    </w:p>
    <w:p w14:paraId="1839C085" w14:textId="77777777" w:rsidR="0008591A" w:rsidRDefault="00000000">
      <w:pPr>
        <w:sectPr w:rsidR="0008591A">
          <w:footerReference w:type="default" r:id="rId9"/>
          <w:pgSz w:w="11906" w:h="16838"/>
          <w:pgMar w:top="1440" w:right="1440" w:bottom="1440" w:left="1440" w:header="1276" w:footer="709" w:gutter="0"/>
          <w:pgNumType w:start="1"/>
          <w:cols w:space="720"/>
        </w:sectPr>
      </w:pPr>
      <w:r>
        <w:br w:type="page"/>
      </w:r>
    </w:p>
    <w:p w14:paraId="3D5B5E4E" w14:textId="77777777" w:rsidR="00AE6271" w:rsidRDefault="00000000">
      <w:pPr>
        <w:keepNext/>
        <w:spacing w:after="160" w:line="360" w:lineRule="auto"/>
      </w:pPr>
      <w:r>
        <w:rPr>
          <w:b/>
          <w:color w:val="000000"/>
          <w:sz w:val="28"/>
        </w:rPr>
        <w:lastRenderedPageBreak/>
        <w:t>ABSTRACT</w:t>
      </w:r>
    </w:p>
    <w:p w14:paraId="753DB3FE" w14:textId="77777777" w:rsidR="00AE6271" w:rsidRDefault="00000000">
      <w:pPr>
        <w:spacing w:after="240" w:line="276" w:lineRule="auto"/>
        <w:jc w:val="both"/>
      </w:pPr>
      <w:r>
        <w:rPr>
          <w:color w:val="000000"/>
        </w:rPr>
        <w:t>Parkinson's Disease (PD) is the second most common neurodegenerative disorder, and its clinical management depends on data that is inherently multimodal: motor and non-motor rating scales, structural magnetic resonance imaging, dopamine transporter (DaTScan) imaging and genetic carrier status. Three obstacles limit existing multimodal models. The modalities are unequal in completeness and reliability, yet are fused symmetrically; individual patients are routinely missing entire modalities, which most architectures cannot consume; and the records are held by different clinical sites that cannot pool raw patient data. This project presents Fed-PhenoGraft, a federated multimodal framework that addresses all three jointly. Clinical phenotype embeddings act as a query that asymmetrically attends to imaging and genetic keys and values, so auxiliary modalities are retrieved conditioned on the patient's phenotype rather than averaged in. Each auxiliary modality is decomposed into shared and private latent representations that are driven towards statistical independence by a Hilbert-Schmidt Independence Criterion penalty, isolating disease-relevant signal from modality-specific acquisition noise. Learned mask tokens substitute for any modality a patient lacks. Training proceeds by sample-weighted federated averaging over four simulated non-IID sites, so raw records never leave a client. Evaluated once on a held-out subject-level split of 3,472 PPMI subjects under a leak-free protocol, the framework attains ROC-AUC 0.982 and accuracy 0.937 for PD versus control classification, and a concordance correlation coefficient of 0.147 for two-year UPDRS-III progression. An eight-variant ablation and an integrated-gradients analysis identify DaTScan as the dominant imaging signal and quantify the cost of the current synthetic-MRI placeholder.</w:t>
      </w:r>
    </w:p>
    <w:p w14:paraId="5B2F196C" w14:textId="77777777" w:rsidR="00AE6271" w:rsidRDefault="00000000">
      <w:pPr>
        <w:spacing w:after="120" w:line="276" w:lineRule="auto"/>
        <w:jc w:val="both"/>
      </w:pPr>
      <w:r>
        <w:rPr>
          <w:i/>
          <w:color w:val="000000"/>
        </w:rPr>
        <w:t>Keywords - Parkinson's Disease, Federated Learning, Multimodal Fusion, Cross-Modal Attention, HSIC Orthogonality, PPMI, Explainable AI.</w:t>
      </w:r>
    </w:p>
    <w:p w14:paraId="38EF31B5" w14:textId="77777777" w:rsidR="00AE6271" w:rsidRDefault="00000000">
      <w:r>
        <w:br w:type="page"/>
      </w:r>
    </w:p>
    <w:p w14:paraId="4B52AEB1" w14:textId="77777777" w:rsidR="00AE6271" w:rsidRDefault="00000000">
      <w:pPr>
        <w:keepNext/>
        <w:spacing w:after="160" w:line="360" w:lineRule="auto"/>
      </w:pPr>
      <w:r>
        <w:rPr>
          <w:b/>
          <w:color w:val="000000"/>
          <w:sz w:val="28"/>
        </w:rPr>
        <w:lastRenderedPageBreak/>
        <w:t>TABLE OF CONTENTS</w:t>
      </w:r>
    </w:p>
    <w:tbl>
      <w:tblPr>
        <w:tblW w:w="0" w:type="auto"/>
        <w:jc w:val="center"/>
        <w:tblLayout w:type="fixed"/>
        <w:tblLook w:val="04A0" w:firstRow="1" w:lastRow="0" w:firstColumn="1" w:lastColumn="0" w:noHBand="0" w:noVBand="1"/>
      </w:tblPr>
      <w:tblGrid>
        <w:gridCol w:w="1224"/>
        <w:gridCol w:w="6840"/>
        <w:gridCol w:w="1296"/>
      </w:tblGrid>
      <w:tr w:rsidR="00AE6271" w14:paraId="09633A16" w14:textId="77777777">
        <w:trPr>
          <w:jc w:val="center"/>
        </w:trPr>
        <w:tc>
          <w:tcPr>
            <w:tcW w:w="1224" w:type="dxa"/>
            <w:shd w:val="clear" w:color="auto" w:fill="D9E2F3"/>
          </w:tcPr>
          <w:p w14:paraId="3E049025" w14:textId="77777777" w:rsidR="00AE6271" w:rsidRDefault="00000000">
            <w:pPr>
              <w:spacing w:before="20" w:after="20"/>
            </w:pPr>
            <w:r>
              <w:rPr>
                <w:b/>
                <w:color w:val="000000"/>
              </w:rPr>
              <w:t>Sl. No.</w:t>
            </w:r>
          </w:p>
        </w:tc>
        <w:tc>
          <w:tcPr>
            <w:tcW w:w="6840" w:type="dxa"/>
            <w:shd w:val="clear" w:color="auto" w:fill="D9E2F3"/>
          </w:tcPr>
          <w:p w14:paraId="501ABF18" w14:textId="77777777" w:rsidR="00AE6271" w:rsidRDefault="00000000">
            <w:pPr>
              <w:spacing w:before="20" w:after="20"/>
            </w:pPr>
            <w:r>
              <w:rPr>
                <w:b/>
                <w:color w:val="000000"/>
              </w:rPr>
              <w:t>Contents</w:t>
            </w:r>
          </w:p>
        </w:tc>
        <w:tc>
          <w:tcPr>
            <w:tcW w:w="1296" w:type="dxa"/>
            <w:shd w:val="clear" w:color="auto" w:fill="D9E2F3"/>
          </w:tcPr>
          <w:p w14:paraId="2D21EBE3" w14:textId="77777777" w:rsidR="00AE6271" w:rsidRDefault="00000000">
            <w:pPr>
              <w:spacing w:before="20" w:after="20"/>
            </w:pPr>
            <w:r>
              <w:rPr>
                <w:b/>
                <w:color w:val="000000"/>
              </w:rPr>
              <w:t>Page No.</w:t>
            </w:r>
          </w:p>
        </w:tc>
      </w:tr>
      <w:tr w:rsidR="00AE6271" w14:paraId="3BBF9083" w14:textId="77777777">
        <w:trPr>
          <w:jc w:val="center"/>
        </w:trPr>
        <w:tc>
          <w:tcPr>
            <w:tcW w:w="1224" w:type="dxa"/>
          </w:tcPr>
          <w:p w14:paraId="3EB81092" w14:textId="77777777" w:rsidR="00AE6271" w:rsidRDefault="00AE6271">
            <w:pPr>
              <w:spacing w:before="20" w:after="20"/>
            </w:pPr>
          </w:p>
        </w:tc>
        <w:tc>
          <w:tcPr>
            <w:tcW w:w="6840" w:type="dxa"/>
          </w:tcPr>
          <w:p w14:paraId="36607BD2" w14:textId="77777777" w:rsidR="00AE6271" w:rsidRDefault="00000000">
            <w:pPr>
              <w:spacing w:before="20" w:after="20"/>
            </w:pPr>
            <w:r>
              <w:rPr>
                <w:color w:val="000000"/>
              </w:rPr>
              <w:t>Abstract</w:t>
            </w:r>
          </w:p>
        </w:tc>
        <w:tc>
          <w:tcPr>
            <w:tcW w:w="1296" w:type="dxa"/>
          </w:tcPr>
          <w:p w14:paraId="2E7AE568" w14:textId="7D93FC60" w:rsidR="00AE6271" w:rsidRDefault="0008591A" w:rsidP="0008591A">
            <w:pPr>
              <w:spacing w:before="20" w:after="20"/>
              <w:jc w:val="center"/>
            </w:pPr>
            <w:r>
              <w:t>i</w:t>
            </w:r>
          </w:p>
        </w:tc>
      </w:tr>
      <w:tr w:rsidR="00AE6271" w14:paraId="3BB1892C" w14:textId="77777777">
        <w:trPr>
          <w:jc w:val="center"/>
        </w:trPr>
        <w:tc>
          <w:tcPr>
            <w:tcW w:w="1224" w:type="dxa"/>
          </w:tcPr>
          <w:p w14:paraId="3F17C13D" w14:textId="77777777" w:rsidR="00AE6271" w:rsidRDefault="00000000">
            <w:pPr>
              <w:spacing w:before="20" w:after="20"/>
            </w:pPr>
            <w:r>
              <w:rPr>
                <w:color w:val="000000"/>
              </w:rPr>
              <w:t>1.</w:t>
            </w:r>
          </w:p>
        </w:tc>
        <w:tc>
          <w:tcPr>
            <w:tcW w:w="6840" w:type="dxa"/>
          </w:tcPr>
          <w:p w14:paraId="0D5D1E39" w14:textId="77777777" w:rsidR="00AE6271" w:rsidRDefault="00000000">
            <w:pPr>
              <w:spacing w:before="20" w:after="20"/>
            </w:pPr>
            <w:r>
              <w:rPr>
                <w:color w:val="000000"/>
              </w:rPr>
              <w:t>INTRODUCTION</w:t>
            </w:r>
          </w:p>
        </w:tc>
        <w:tc>
          <w:tcPr>
            <w:tcW w:w="1296" w:type="dxa"/>
          </w:tcPr>
          <w:p w14:paraId="485D3B1C" w14:textId="3145E676" w:rsidR="00AE6271" w:rsidRDefault="0008591A" w:rsidP="0008591A">
            <w:pPr>
              <w:spacing w:before="20" w:after="20"/>
              <w:jc w:val="center"/>
            </w:pPr>
            <w:r>
              <w:t>1</w:t>
            </w:r>
          </w:p>
        </w:tc>
      </w:tr>
      <w:tr w:rsidR="00AE6271" w14:paraId="5356F1F6" w14:textId="77777777">
        <w:trPr>
          <w:jc w:val="center"/>
        </w:trPr>
        <w:tc>
          <w:tcPr>
            <w:tcW w:w="1224" w:type="dxa"/>
          </w:tcPr>
          <w:p w14:paraId="24E83B52" w14:textId="77777777" w:rsidR="00AE6271" w:rsidRDefault="00AE6271">
            <w:pPr>
              <w:spacing w:before="20" w:after="20"/>
            </w:pPr>
          </w:p>
        </w:tc>
        <w:tc>
          <w:tcPr>
            <w:tcW w:w="6840" w:type="dxa"/>
          </w:tcPr>
          <w:p w14:paraId="7C388690" w14:textId="77777777" w:rsidR="00AE6271" w:rsidRDefault="00000000">
            <w:pPr>
              <w:spacing w:before="20" w:after="20"/>
            </w:pPr>
            <w:r>
              <w:rPr>
                <w:color w:val="000000"/>
              </w:rPr>
              <w:t>1.1 Background</w:t>
            </w:r>
          </w:p>
        </w:tc>
        <w:tc>
          <w:tcPr>
            <w:tcW w:w="1296" w:type="dxa"/>
          </w:tcPr>
          <w:p w14:paraId="1F8F30FC" w14:textId="66C4B2AB" w:rsidR="00AE6271" w:rsidRDefault="0008591A" w:rsidP="0008591A">
            <w:pPr>
              <w:spacing w:before="20" w:after="20"/>
              <w:jc w:val="center"/>
            </w:pPr>
            <w:r>
              <w:t>1</w:t>
            </w:r>
          </w:p>
        </w:tc>
      </w:tr>
      <w:tr w:rsidR="00AE6271" w14:paraId="5CB52878" w14:textId="77777777">
        <w:trPr>
          <w:jc w:val="center"/>
        </w:trPr>
        <w:tc>
          <w:tcPr>
            <w:tcW w:w="1224" w:type="dxa"/>
          </w:tcPr>
          <w:p w14:paraId="498D4FF8" w14:textId="77777777" w:rsidR="00AE6271" w:rsidRDefault="00AE6271">
            <w:pPr>
              <w:spacing w:before="20" w:after="20"/>
            </w:pPr>
          </w:p>
        </w:tc>
        <w:tc>
          <w:tcPr>
            <w:tcW w:w="6840" w:type="dxa"/>
          </w:tcPr>
          <w:p w14:paraId="4D41C29F" w14:textId="77777777" w:rsidR="00AE6271" w:rsidRDefault="00000000">
            <w:pPr>
              <w:spacing w:before="20" w:after="20"/>
            </w:pPr>
            <w:r>
              <w:rPr>
                <w:color w:val="000000"/>
              </w:rPr>
              <w:t>1.2 Motivation</w:t>
            </w:r>
          </w:p>
        </w:tc>
        <w:tc>
          <w:tcPr>
            <w:tcW w:w="1296" w:type="dxa"/>
          </w:tcPr>
          <w:p w14:paraId="6ED42C52" w14:textId="1730C79C" w:rsidR="00AE6271" w:rsidRDefault="0008591A" w:rsidP="0008591A">
            <w:pPr>
              <w:spacing w:before="20" w:after="20"/>
              <w:jc w:val="center"/>
            </w:pPr>
            <w:r>
              <w:t>1</w:t>
            </w:r>
          </w:p>
        </w:tc>
      </w:tr>
      <w:tr w:rsidR="00AE6271" w14:paraId="1DFC7DF6" w14:textId="77777777">
        <w:trPr>
          <w:jc w:val="center"/>
        </w:trPr>
        <w:tc>
          <w:tcPr>
            <w:tcW w:w="1224" w:type="dxa"/>
          </w:tcPr>
          <w:p w14:paraId="2CDE65FA" w14:textId="77777777" w:rsidR="00AE6271" w:rsidRDefault="00AE6271">
            <w:pPr>
              <w:spacing w:before="20" w:after="20"/>
            </w:pPr>
          </w:p>
        </w:tc>
        <w:tc>
          <w:tcPr>
            <w:tcW w:w="6840" w:type="dxa"/>
          </w:tcPr>
          <w:p w14:paraId="6AFAEE40" w14:textId="77777777" w:rsidR="00AE6271" w:rsidRDefault="00000000">
            <w:pPr>
              <w:spacing w:before="20" w:after="20"/>
            </w:pPr>
            <w:r>
              <w:rPr>
                <w:color w:val="000000"/>
              </w:rPr>
              <w:t>1.3 Scope of the Project</w:t>
            </w:r>
          </w:p>
        </w:tc>
        <w:tc>
          <w:tcPr>
            <w:tcW w:w="1296" w:type="dxa"/>
          </w:tcPr>
          <w:p w14:paraId="37930390" w14:textId="45666212" w:rsidR="00AE6271" w:rsidRDefault="0008591A" w:rsidP="0008591A">
            <w:pPr>
              <w:spacing w:before="20" w:after="20"/>
              <w:jc w:val="center"/>
            </w:pPr>
            <w:r>
              <w:t>1</w:t>
            </w:r>
          </w:p>
        </w:tc>
      </w:tr>
      <w:tr w:rsidR="00AE6271" w14:paraId="1921D0FD" w14:textId="77777777">
        <w:trPr>
          <w:jc w:val="center"/>
        </w:trPr>
        <w:tc>
          <w:tcPr>
            <w:tcW w:w="1224" w:type="dxa"/>
          </w:tcPr>
          <w:p w14:paraId="7A790740" w14:textId="77777777" w:rsidR="00AE6271" w:rsidRDefault="00000000">
            <w:pPr>
              <w:spacing w:before="20" w:after="20"/>
            </w:pPr>
            <w:r>
              <w:rPr>
                <w:color w:val="000000"/>
              </w:rPr>
              <w:t>2.</w:t>
            </w:r>
          </w:p>
        </w:tc>
        <w:tc>
          <w:tcPr>
            <w:tcW w:w="6840" w:type="dxa"/>
          </w:tcPr>
          <w:p w14:paraId="10182DFF" w14:textId="77777777" w:rsidR="00AE6271" w:rsidRDefault="00000000">
            <w:pPr>
              <w:spacing w:before="20" w:after="20"/>
            </w:pPr>
            <w:r>
              <w:rPr>
                <w:color w:val="000000"/>
              </w:rPr>
              <w:t>PROJECT DESCRIPTION AND GOALS</w:t>
            </w:r>
          </w:p>
        </w:tc>
        <w:tc>
          <w:tcPr>
            <w:tcW w:w="1296" w:type="dxa"/>
          </w:tcPr>
          <w:p w14:paraId="0AA939FA" w14:textId="6074FF40" w:rsidR="00AE6271" w:rsidRDefault="0008591A" w:rsidP="0008591A">
            <w:pPr>
              <w:spacing w:before="20" w:after="20"/>
              <w:jc w:val="center"/>
            </w:pPr>
            <w:r>
              <w:t>3</w:t>
            </w:r>
          </w:p>
        </w:tc>
      </w:tr>
      <w:tr w:rsidR="00AE6271" w14:paraId="03528045" w14:textId="77777777">
        <w:trPr>
          <w:jc w:val="center"/>
        </w:trPr>
        <w:tc>
          <w:tcPr>
            <w:tcW w:w="1224" w:type="dxa"/>
          </w:tcPr>
          <w:p w14:paraId="415B30FC" w14:textId="77777777" w:rsidR="00AE6271" w:rsidRDefault="00AE6271">
            <w:pPr>
              <w:spacing w:before="20" w:after="20"/>
            </w:pPr>
          </w:p>
        </w:tc>
        <w:tc>
          <w:tcPr>
            <w:tcW w:w="6840" w:type="dxa"/>
          </w:tcPr>
          <w:p w14:paraId="6272FA6D" w14:textId="77777777" w:rsidR="00AE6271" w:rsidRDefault="00000000">
            <w:pPr>
              <w:spacing w:before="20" w:after="20"/>
            </w:pPr>
            <w:r>
              <w:rPr>
                <w:color w:val="000000"/>
              </w:rPr>
              <w:t>2.1 Literature Review</w:t>
            </w:r>
          </w:p>
        </w:tc>
        <w:tc>
          <w:tcPr>
            <w:tcW w:w="1296" w:type="dxa"/>
          </w:tcPr>
          <w:p w14:paraId="6FFE215B" w14:textId="03711631" w:rsidR="00AE6271" w:rsidRDefault="0008591A" w:rsidP="0008591A">
            <w:pPr>
              <w:spacing w:before="20" w:after="20"/>
              <w:jc w:val="center"/>
            </w:pPr>
            <w:r>
              <w:t>3</w:t>
            </w:r>
          </w:p>
        </w:tc>
      </w:tr>
      <w:tr w:rsidR="00AE6271" w14:paraId="7C4F5821" w14:textId="77777777">
        <w:trPr>
          <w:jc w:val="center"/>
        </w:trPr>
        <w:tc>
          <w:tcPr>
            <w:tcW w:w="1224" w:type="dxa"/>
          </w:tcPr>
          <w:p w14:paraId="0F0F933D" w14:textId="77777777" w:rsidR="00AE6271" w:rsidRDefault="00AE6271">
            <w:pPr>
              <w:spacing w:before="20" w:after="20"/>
            </w:pPr>
          </w:p>
        </w:tc>
        <w:tc>
          <w:tcPr>
            <w:tcW w:w="6840" w:type="dxa"/>
          </w:tcPr>
          <w:p w14:paraId="6390392B" w14:textId="77777777" w:rsidR="00AE6271" w:rsidRDefault="00000000">
            <w:pPr>
              <w:spacing w:before="20" w:after="20"/>
            </w:pPr>
            <w:r>
              <w:rPr>
                <w:color w:val="000000"/>
              </w:rPr>
              <w:t>2.2 Research Gap</w:t>
            </w:r>
          </w:p>
        </w:tc>
        <w:tc>
          <w:tcPr>
            <w:tcW w:w="1296" w:type="dxa"/>
          </w:tcPr>
          <w:p w14:paraId="2EEE0555" w14:textId="246D0468" w:rsidR="00AE6271" w:rsidRDefault="0008591A" w:rsidP="0008591A">
            <w:pPr>
              <w:spacing w:before="20" w:after="20"/>
              <w:jc w:val="center"/>
            </w:pPr>
            <w:r>
              <w:t>6</w:t>
            </w:r>
          </w:p>
        </w:tc>
      </w:tr>
      <w:tr w:rsidR="00AE6271" w14:paraId="1CC0DB19" w14:textId="77777777">
        <w:trPr>
          <w:jc w:val="center"/>
        </w:trPr>
        <w:tc>
          <w:tcPr>
            <w:tcW w:w="1224" w:type="dxa"/>
          </w:tcPr>
          <w:p w14:paraId="0AF4EA6B" w14:textId="77777777" w:rsidR="00AE6271" w:rsidRDefault="00AE6271">
            <w:pPr>
              <w:spacing w:before="20" w:after="20"/>
            </w:pPr>
          </w:p>
        </w:tc>
        <w:tc>
          <w:tcPr>
            <w:tcW w:w="6840" w:type="dxa"/>
          </w:tcPr>
          <w:p w14:paraId="70D1CB3B" w14:textId="77777777" w:rsidR="00AE6271" w:rsidRDefault="00000000">
            <w:pPr>
              <w:spacing w:before="20" w:after="20"/>
            </w:pPr>
            <w:r>
              <w:rPr>
                <w:color w:val="000000"/>
              </w:rPr>
              <w:t>2.3 Objectives</w:t>
            </w:r>
          </w:p>
        </w:tc>
        <w:tc>
          <w:tcPr>
            <w:tcW w:w="1296" w:type="dxa"/>
          </w:tcPr>
          <w:p w14:paraId="3B6E97C3" w14:textId="054EE2E0" w:rsidR="00AE6271" w:rsidRDefault="0008591A" w:rsidP="0008591A">
            <w:pPr>
              <w:spacing w:before="20" w:after="20"/>
              <w:jc w:val="center"/>
            </w:pPr>
            <w:r>
              <w:t>6</w:t>
            </w:r>
          </w:p>
        </w:tc>
      </w:tr>
      <w:tr w:rsidR="00AE6271" w14:paraId="2A66B83E" w14:textId="77777777">
        <w:trPr>
          <w:jc w:val="center"/>
        </w:trPr>
        <w:tc>
          <w:tcPr>
            <w:tcW w:w="1224" w:type="dxa"/>
          </w:tcPr>
          <w:p w14:paraId="2DA21DF5" w14:textId="77777777" w:rsidR="00AE6271" w:rsidRDefault="00AE6271">
            <w:pPr>
              <w:spacing w:before="20" w:after="20"/>
            </w:pPr>
          </w:p>
        </w:tc>
        <w:tc>
          <w:tcPr>
            <w:tcW w:w="6840" w:type="dxa"/>
          </w:tcPr>
          <w:p w14:paraId="3F640B9B" w14:textId="77777777" w:rsidR="00AE6271" w:rsidRDefault="00000000">
            <w:pPr>
              <w:spacing w:before="20" w:after="20"/>
            </w:pPr>
            <w:r>
              <w:rPr>
                <w:color w:val="000000"/>
              </w:rPr>
              <w:t>2.4 Problem Statement</w:t>
            </w:r>
          </w:p>
        </w:tc>
        <w:tc>
          <w:tcPr>
            <w:tcW w:w="1296" w:type="dxa"/>
          </w:tcPr>
          <w:p w14:paraId="7C1E1DB6" w14:textId="3E625DBA" w:rsidR="00AE6271" w:rsidRDefault="0008591A" w:rsidP="0008591A">
            <w:pPr>
              <w:spacing w:before="20" w:after="20"/>
              <w:jc w:val="center"/>
            </w:pPr>
            <w:r>
              <w:t>7</w:t>
            </w:r>
          </w:p>
        </w:tc>
      </w:tr>
      <w:tr w:rsidR="00AE6271" w14:paraId="68B6C131" w14:textId="77777777">
        <w:trPr>
          <w:jc w:val="center"/>
        </w:trPr>
        <w:tc>
          <w:tcPr>
            <w:tcW w:w="1224" w:type="dxa"/>
          </w:tcPr>
          <w:p w14:paraId="41B6F65E" w14:textId="77777777" w:rsidR="00AE6271" w:rsidRDefault="00AE6271">
            <w:pPr>
              <w:spacing w:before="20" w:after="20"/>
            </w:pPr>
          </w:p>
        </w:tc>
        <w:tc>
          <w:tcPr>
            <w:tcW w:w="6840" w:type="dxa"/>
          </w:tcPr>
          <w:p w14:paraId="231657CE" w14:textId="77777777" w:rsidR="00AE6271" w:rsidRDefault="00000000">
            <w:pPr>
              <w:spacing w:before="20" w:after="20"/>
            </w:pPr>
            <w:r>
              <w:rPr>
                <w:color w:val="000000"/>
              </w:rPr>
              <w:t>2.5 Project Plan</w:t>
            </w:r>
          </w:p>
        </w:tc>
        <w:tc>
          <w:tcPr>
            <w:tcW w:w="1296" w:type="dxa"/>
          </w:tcPr>
          <w:p w14:paraId="2B3343A4" w14:textId="1C68B2D2" w:rsidR="00AE6271" w:rsidRDefault="0008591A" w:rsidP="0008591A">
            <w:pPr>
              <w:spacing w:before="20" w:after="20"/>
              <w:jc w:val="center"/>
            </w:pPr>
            <w:r>
              <w:t>7</w:t>
            </w:r>
          </w:p>
        </w:tc>
      </w:tr>
      <w:tr w:rsidR="00AE6271" w14:paraId="546D8A30" w14:textId="77777777">
        <w:trPr>
          <w:jc w:val="center"/>
        </w:trPr>
        <w:tc>
          <w:tcPr>
            <w:tcW w:w="1224" w:type="dxa"/>
          </w:tcPr>
          <w:p w14:paraId="461E741B" w14:textId="77777777" w:rsidR="00AE6271" w:rsidRDefault="00000000">
            <w:pPr>
              <w:spacing w:before="20" w:after="20"/>
            </w:pPr>
            <w:r>
              <w:rPr>
                <w:color w:val="000000"/>
              </w:rPr>
              <w:t>3.</w:t>
            </w:r>
          </w:p>
        </w:tc>
        <w:tc>
          <w:tcPr>
            <w:tcW w:w="6840" w:type="dxa"/>
          </w:tcPr>
          <w:p w14:paraId="1958FA97" w14:textId="77777777" w:rsidR="00AE6271" w:rsidRDefault="00000000">
            <w:pPr>
              <w:spacing w:before="20" w:after="20"/>
            </w:pPr>
            <w:r>
              <w:rPr>
                <w:color w:val="000000"/>
              </w:rPr>
              <w:t>TECHNICAL SPECIFICATION</w:t>
            </w:r>
          </w:p>
        </w:tc>
        <w:tc>
          <w:tcPr>
            <w:tcW w:w="1296" w:type="dxa"/>
          </w:tcPr>
          <w:p w14:paraId="059230FA" w14:textId="0A0D82B5" w:rsidR="00AE6271" w:rsidRDefault="00760D04" w:rsidP="0008591A">
            <w:pPr>
              <w:spacing w:before="20" w:after="20"/>
              <w:jc w:val="center"/>
            </w:pPr>
            <w:r>
              <w:t>9</w:t>
            </w:r>
          </w:p>
        </w:tc>
      </w:tr>
      <w:tr w:rsidR="00AE6271" w14:paraId="254EFA6A" w14:textId="77777777">
        <w:trPr>
          <w:jc w:val="center"/>
        </w:trPr>
        <w:tc>
          <w:tcPr>
            <w:tcW w:w="1224" w:type="dxa"/>
          </w:tcPr>
          <w:p w14:paraId="095B2317" w14:textId="77777777" w:rsidR="00AE6271" w:rsidRDefault="00AE6271">
            <w:pPr>
              <w:spacing w:before="20" w:after="20"/>
            </w:pPr>
          </w:p>
        </w:tc>
        <w:tc>
          <w:tcPr>
            <w:tcW w:w="6840" w:type="dxa"/>
          </w:tcPr>
          <w:p w14:paraId="085DE00F" w14:textId="77777777" w:rsidR="00AE6271" w:rsidRDefault="00000000">
            <w:pPr>
              <w:spacing w:before="20" w:after="20"/>
            </w:pPr>
            <w:r>
              <w:rPr>
                <w:color w:val="000000"/>
              </w:rPr>
              <w:t>3.1 Requirements</w:t>
            </w:r>
          </w:p>
        </w:tc>
        <w:tc>
          <w:tcPr>
            <w:tcW w:w="1296" w:type="dxa"/>
          </w:tcPr>
          <w:p w14:paraId="1469437E" w14:textId="435C086F" w:rsidR="00AE6271" w:rsidRDefault="00760D04" w:rsidP="0008591A">
            <w:pPr>
              <w:spacing w:before="20" w:after="20"/>
              <w:jc w:val="center"/>
            </w:pPr>
            <w:r>
              <w:t>9</w:t>
            </w:r>
          </w:p>
        </w:tc>
      </w:tr>
      <w:tr w:rsidR="00AE6271" w14:paraId="638FEFB0" w14:textId="77777777">
        <w:trPr>
          <w:jc w:val="center"/>
        </w:trPr>
        <w:tc>
          <w:tcPr>
            <w:tcW w:w="1224" w:type="dxa"/>
          </w:tcPr>
          <w:p w14:paraId="61E96C7A" w14:textId="77777777" w:rsidR="00AE6271" w:rsidRDefault="00AE6271">
            <w:pPr>
              <w:spacing w:before="20" w:after="20"/>
            </w:pPr>
          </w:p>
        </w:tc>
        <w:tc>
          <w:tcPr>
            <w:tcW w:w="6840" w:type="dxa"/>
          </w:tcPr>
          <w:p w14:paraId="52F37875" w14:textId="77777777" w:rsidR="00AE6271" w:rsidRDefault="00000000">
            <w:pPr>
              <w:spacing w:before="20" w:after="20"/>
            </w:pPr>
            <w:r>
              <w:rPr>
                <w:color w:val="000000"/>
              </w:rPr>
              <w:t>3.1.1 Functional</w:t>
            </w:r>
          </w:p>
        </w:tc>
        <w:tc>
          <w:tcPr>
            <w:tcW w:w="1296" w:type="dxa"/>
          </w:tcPr>
          <w:p w14:paraId="61610F2C" w14:textId="3CBC6A62" w:rsidR="00AE6271" w:rsidRDefault="00760D04" w:rsidP="0008591A">
            <w:pPr>
              <w:spacing w:before="20" w:after="20"/>
              <w:jc w:val="center"/>
            </w:pPr>
            <w:r>
              <w:t>9</w:t>
            </w:r>
          </w:p>
        </w:tc>
      </w:tr>
      <w:tr w:rsidR="00AE6271" w14:paraId="5AD90076" w14:textId="77777777">
        <w:trPr>
          <w:jc w:val="center"/>
        </w:trPr>
        <w:tc>
          <w:tcPr>
            <w:tcW w:w="1224" w:type="dxa"/>
          </w:tcPr>
          <w:p w14:paraId="23EB1193" w14:textId="77777777" w:rsidR="00AE6271" w:rsidRDefault="00AE6271">
            <w:pPr>
              <w:spacing w:before="20" w:after="20"/>
            </w:pPr>
          </w:p>
        </w:tc>
        <w:tc>
          <w:tcPr>
            <w:tcW w:w="6840" w:type="dxa"/>
          </w:tcPr>
          <w:p w14:paraId="0C0DF7B1" w14:textId="77777777" w:rsidR="00AE6271" w:rsidRDefault="00000000">
            <w:pPr>
              <w:spacing w:before="20" w:after="20"/>
            </w:pPr>
            <w:r>
              <w:rPr>
                <w:color w:val="000000"/>
              </w:rPr>
              <w:t>3.1.2 Non-Functional</w:t>
            </w:r>
          </w:p>
        </w:tc>
        <w:tc>
          <w:tcPr>
            <w:tcW w:w="1296" w:type="dxa"/>
          </w:tcPr>
          <w:p w14:paraId="0EE3F920" w14:textId="69DC88C6" w:rsidR="00AE6271" w:rsidRDefault="00760D04" w:rsidP="0008591A">
            <w:pPr>
              <w:spacing w:before="20" w:after="20"/>
              <w:jc w:val="center"/>
            </w:pPr>
            <w:r>
              <w:t>10</w:t>
            </w:r>
          </w:p>
        </w:tc>
      </w:tr>
      <w:tr w:rsidR="00AE6271" w14:paraId="5B94DDCF" w14:textId="77777777">
        <w:trPr>
          <w:jc w:val="center"/>
        </w:trPr>
        <w:tc>
          <w:tcPr>
            <w:tcW w:w="1224" w:type="dxa"/>
          </w:tcPr>
          <w:p w14:paraId="51F3A5C7" w14:textId="77777777" w:rsidR="00AE6271" w:rsidRDefault="00AE6271">
            <w:pPr>
              <w:spacing w:before="20" w:after="20"/>
            </w:pPr>
          </w:p>
        </w:tc>
        <w:tc>
          <w:tcPr>
            <w:tcW w:w="6840" w:type="dxa"/>
          </w:tcPr>
          <w:p w14:paraId="0B2BA740" w14:textId="77777777" w:rsidR="00AE6271" w:rsidRDefault="00000000">
            <w:pPr>
              <w:spacing w:before="20" w:after="20"/>
            </w:pPr>
            <w:r>
              <w:rPr>
                <w:color w:val="000000"/>
              </w:rPr>
              <w:t>3.2 Feasibility Study</w:t>
            </w:r>
          </w:p>
        </w:tc>
        <w:tc>
          <w:tcPr>
            <w:tcW w:w="1296" w:type="dxa"/>
          </w:tcPr>
          <w:p w14:paraId="24BC0191" w14:textId="32D4CE9D" w:rsidR="00AE6271" w:rsidRDefault="00760D04" w:rsidP="0008591A">
            <w:pPr>
              <w:spacing w:before="20" w:after="20"/>
              <w:jc w:val="center"/>
            </w:pPr>
            <w:r>
              <w:t>10</w:t>
            </w:r>
          </w:p>
        </w:tc>
      </w:tr>
      <w:tr w:rsidR="00AE6271" w14:paraId="55621528" w14:textId="77777777">
        <w:trPr>
          <w:jc w:val="center"/>
        </w:trPr>
        <w:tc>
          <w:tcPr>
            <w:tcW w:w="1224" w:type="dxa"/>
          </w:tcPr>
          <w:p w14:paraId="790E28A2" w14:textId="77777777" w:rsidR="00AE6271" w:rsidRDefault="00AE6271">
            <w:pPr>
              <w:spacing w:before="20" w:after="20"/>
            </w:pPr>
          </w:p>
        </w:tc>
        <w:tc>
          <w:tcPr>
            <w:tcW w:w="6840" w:type="dxa"/>
          </w:tcPr>
          <w:p w14:paraId="2F39D845" w14:textId="77777777" w:rsidR="00AE6271" w:rsidRDefault="00000000">
            <w:pPr>
              <w:spacing w:before="20" w:after="20"/>
            </w:pPr>
            <w:r>
              <w:rPr>
                <w:color w:val="000000"/>
              </w:rPr>
              <w:t>3.2.1 Technical Feasibility</w:t>
            </w:r>
          </w:p>
        </w:tc>
        <w:tc>
          <w:tcPr>
            <w:tcW w:w="1296" w:type="dxa"/>
          </w:tcPr>
          <w:p w14:paraId="592AAE00" w14:textId="63C1B40E" w:rsidR="00AE6271" w:rsidRDefault="00760D04" w:rsidP="0008591A">
            <w:pPr>
              <w:spacing w:before="20" w:after="20"/>
              <w:jc w:val="center"/>
            </w:pPr>
            <w:r>
              <w:t>10</w:t>
            </w:r>
          </w:p>
        </w:tc>
      </w:tr>
      <w:tr w:rsidR="00AE6271" w14:paraId="2EBE796D" w14:textId="77777777">
        <w:trPr>
          <w:jc w:val="center"/>
        </w:trPr>
        <w:tc>
          <w:tcPr>
            <w:tcW w:w="1224" w:type="dxa"/>
          </w:tcPr>
          <w:p w14:paraId="2ED29399" w14:textId="77777777" w:rsidR="00AE6271" w:rsidRDefault="00AE6271">
            <w:pPr>
              <w:spacing w:before="20" w:after="20"/>
            </w:pPr>
          </w:p>
        </w:tc>
        <w:tc>
          <w:tcPr>
            <w:tcW w:w="6840" w:type="dxa"/>
          </w:tcPr>
          <w:p w14:paraId="5F7515EB" w14:textId="77777777" w:rsidR="00AE6271" w:rsidRDefault="00000000">
            <w:pPr>
              <w:spacing w:before="20" w:after="20"/>
            </w:pPr>
            <w:r>
              <w:rPr>
                <w:color w:val="000000"/>
              </w:rPr>
              <w:t>3.2.2 Economic Feasibility</w:t>
            </w:r>
          </w:p>
        </w:tc>
        <w:tc>
          <w:tcPr>
            <w:tcW w:w="1296" w:type="dxa"/>
          </w:tcPr>
          <w:p w14:paraId="29D6C133" w14:textId="4D921993" w:rsidR="00AE6271" w:rsidRDefault="00760D04" w:rsidP="0008591A">
            <w:pPr>
              <w:spacing w:before="20" w:after="20"/>
              <w:jc w:val="center"/>
            </w:pPr>
            <w:r>
              <w:t>11</w:t>
            </w:r>
          </w:p>
        </w:tc>
      </w:tr>
      <w:tr w:rsidR="00AE6271" w14:paraId="2A96DE49" w14:textId="77777777">
        <w:trPr>
          <w:jc w:val="center"/>
        </w:trPr>
        <w:tc>
          <w:tcPr>
            <w:tcW w:w="1224" w:type="dxa"/>
          </w:tcPr>
          <w:p w14:paraId="5C451167" w14:textId="77777777" w:rsidR="00AE6271" w:rsidRDefault="00AE6271">
            <w:pPr>
              <w:spacing w:before="20" w:after="20"/>
            </w:pPr>
          </w:p>
        </w:tc>
        <w:tc>
          <w:tcPr>
            <w:tcW w:w="6840" w:type="dxa"/>
          </w:tcPr>
          <w:p w14:paraId="60B98F35" w14:textId="77777777" w:rsidR="00AE6271" w:rsidRDefault="00000000">
            <w:pPr>
              <w:spacing w:before="20" w:after="20"/>
            </w:pPr>
            <w:r>
              <w:rPr>
                <w:color w:val="000000"/>
              </w:rPr>
              <w:t>3.2.3 Social Feasibility</w:t>
            </w:r>
          </w:p>
        </w:tc>
        <w:tc>
          <w:tcPr>
            <w:tcW w:w="1296" w:type="dxa"/>
          </w:tcPr>
          <w:p w14:paraId="49B7C895" w14:textId="0D4D117A" w:rsidR="00AE6271" w:rsidRDefault="00760D04" w:rsidP="0008591A">
            <w:pPr>
              <w:spacing w:before="20" w:after="20"/>
              <w:jc w:val="center"/>
            </w:pPr>
            <w:r>
              <w:t>11</w:t>
            </w:r>
          </w:p>
        </w:tc>
      </w:tr>
      <w:tr w:rsidR="00AE6271" w14:paraId="704D2833" w14:textId="77777777">
        <w:trPr>
          <w:jc w:val="center"/>
        </w:trPr>
        <w:tc>
          <w:tcPr>
            <w:tcW w:w="1224" w:type="dxa"/>
          </w:tcPr>
          <w:p w14:paraId="78DA6E68" w14:textId="77777777" w:rsidR="00AE6271" w:rsidRDefault="00AE6271">
            <w:pPr>
              <w:spacing w:before="20" w:after="20"/>
            </w:pPr>
          </w:p>
        </w:tc>
        <w:tc>
          <w:tcPr>
            <w:tcW w:w="6840" w:type="dxa"/>
          </w:tcPr>
          <w:p w14:paraId="6ECA8E74" w14:textId="77777777" w:rsidR="00AE6271" w:rsidRDefault="00000000">
            <w:pPr>
              <w:spacing w:before="20" w:after="20"/>
            </w:pPr>
            <w:r>
              <w:rPr>
                <w:color w:val="000000"/>
              </w:rPr>
              <w:t>3.3 System Specification</w:t>
            </w:r>
          </w:p>
        </w:tc>
        <w:tc>
          <w:tcPr>
            <w:tcW w:w="1296" w:type="dxa"/>
          </w:tcPr>
          <w:p w14:paraId="6BC7EFF3" w14:textId="16A0D60F" w:rsidR="00AE6271" w:rsidRDefault="00760D04" w:rsidP="0008591A">
            <w:pPr>
              <w:spacing w:before="20" w:after="20"/>
              <w:jc w:val="center"/>
            </w:pPr>
            <w:r>
              <w:t>12</w:t>
            </w:r>
          </w:p>
        </w:tc>
      </w:tr>
      <w:tr w:rsidR="00AE6271" w14:paraId="6F23CA90" w14:textId="77777777">
        <w:trPr>
          <w:jc w:val="center"/>
        </w:trPr>
        <w:tc>
          <w:tcPr>
            <w:tcW w:w="1224" w:type="dxa"/>
          </w:tcPr>
          <w:p w14:paraId="5B0C0E28" w14:textId="77777777" w:rsidR="00AE6271" w:rsidRDefault="00AE6271">
            <w:pPr>
              <w:spacing w:before="20" w:after="20"/>
            </w:pPr>
          </w:p>
        </w:tc>
        <w:tc>
          <w:tcPr>
            <w:tcW w:w="6840" w:type="dxa"/>
          </w:tcPr>
          <w:p w14:paraId="78880871" w14:textId="77777777" w:rsidR="00AE6271" w:rsidRDefault="00000000">
            <w:pPr>
              <w:spacing w:before="20" w:after="20"/>
            </w:pPr>
            <w:r>
              <w:rPr>
                <w:color w:val="000000"/>
              </w:rPr>
              <w:t>3.3.1 Hardware Specification</w:t>
            </w:r>
          </w:p>
        </w:tc>
        <w:tc>
          <w:tcPr>
            <w:tcW w:w="1296" w:type="dxa"/>
          </w:tcPr>
          <w:p w14:paraId="15B8D72E" w14:textId="537A09A6" w:rsidR="00AE6271" w:rsidRDefault="00760D04" w:rsidP="0008591A">
            <w:pPr>
              <w:spacing w:before="20" w:after="20"/>
              <w:jc w:val="center"/>
            </w:pPr>
            <w:r>
              <w:t>12</w:t>
            </w:r>
          </w:p>
        </w:tc>
      </w:tr>
      <w:tr w:rsidR="00AE6271" w14:paraId="282537F2" w14:textId="77777777">
        <w:trPr>
          <w:jc w:val="center"/>
        </w:trPr>
        <w:tc>
          <w:tcPr>
            <w:tcW w:w="1224" w:type="dxa"/>
          </w:tcPr>
          <w:p w14:paraId="4B1EE1C2" w14:textId="77777777" w:rsidR="00AE6271" w:rsidRDefault="00AE6271">
            <w:pPr>
              <w:spacing w:before="20" w:after="20"/>
            </w:pPr>
          </w:p>
        </w:tc>
        <w:tc>
          <w:tcPr>
            <w:tcW w:w="6840" w:type="dxa"/>
          </w:tcPr>
          <w:p w14:paraId="7AC7BB98" w14:textId="77777777" w:rsidR="00AE6271" w:rsidRDefault="00000000">
            <w:pPr>
              <w:spacing w:before="20" w:after="20"/>
            </w:pPr>
            <w:r>
              <w:rPr>
                <w:color w:val="000000"/>
              </w:rPr>
              <w:t>3.3.2 Software Specification</w:t>
            </w:r>
          </w:p>
        </w:tc>
        <w:tc>
          <w:tcPr>
            <w:tcW w:w="1296" w:type="dxa"/>
          </w:tcPr>
          <w:p w14:paraId="5B74BA8A" w14:textId="4447F54C" w:rsidR="00AE6271" w:rsidRDefault="00760D04" w:rsidP="0008591A">
            <w:pPr>
              <w:spacing w:before="20" w:after="20"/>
              <w:jc w:val="center"/>
            </w:pPr>
            <w:r>
              <w:t>12</w:t>
            </w:r>
          </w:p>
        </w:tc>
      </w:tr>
      <w:tr w:rsidR="00AE6271" w14:paraId="43023595" w14:textId="77777777">
        <w:trPr>
          <w:jc w:val="center"/>
        </w:trPr>
        <w:tc>
          <w:tcPr>
            <w:tcW w:w="1224" w:type="dxa"/>
          </w:tcPr>
          <w:p w14:paraId="36E00366" w14:textId="77777777" w:rsidR="00AE6271" w:rsidRDefault="00000000">
            <w:pPr>
              <w:spacing w:before="20" w:after="20"/>
            </w:pPr>
            <w:r>
              <w:rPr>
                <w:color w:val="000000"/>
              </w:rPr>
              <w:t>4.</w:t>
            </w:r>
          </w:p>
        </w:tc>
        <w:tc>
          <w:tcPr>
            <w:tcW w:w="6840" w:type="dxa"/>
          </w:tcPr>
          <w:p w14:paraId="4AEF3AA5" w14:textId="77777777" w:rsidR="00AE6271" w:rsidRDefault="00000000">
            <w:pPr>
              <w:spacing w:before="20" w:after="20"/>
            </w:pPr>
            <w:r>
              <w:rPr>
                <w:color w:val="000000"/>
              </w:rPr>
              <w:t>DESIGN APPROACH AND DETAILS</w:t>
            </w:r>
          </w:p>
        </w:tc>
        <w:tc>
          <w:tcPr>
            <w:tcW w:w="1296" w:type="dxa"/>
          </w:tcPr>
          <w:p w14:paraId="56A99692" w14:textId="12C7FA0C" w:rsidR="00AE6271" w:rsidRDefault="00760D04" w:rsidP="0008591A">
            <w:pPr>
              <w:spacing w:before="20" w:after="20"/>
              <w:jc w:val="center"/>
            </w:pPr>
            <w:r>
              <w:t>13</w:t>
            </w:r>
          </w:p>
        </w:tc>
      </w:tr>
      <w:tr w:rsidR="00AE6271" w14:paraId="3B024127" w14:textId="77777777">
        <w:trPr>
          <w:jc w:val="center"/>
        </w:trPr>
        <w:tc>
          <w:tcPr>
            <w:tcW w:w="1224" w:type="dxa"/>
          </w:tcPr>
          <w:p w14:paraId="46CE671A" w14:textId="77777777" w:rsidR="00AE6271" w:rsidRDefault="00AE6271">
            <w:pPr>
              <w:spacing w:before="20" w:after="20"/>
            </w:pPr>
          </w:p>
        </w:tc>
        <w:tc>
          <w:tcPr>
            <w:tcW w:w="6840" w:type="dxa"/>
          </w:tcPr>
          <w:p w14:paraId="77561F57" w14:textId="77777777" w:rsidR="00AE6271" w:rsidRDefault="00000000">
            <w:pPr>
              <w:spacing w:before="20" w:after="20"/>
            </w:pPr>
            <w:r>
              <w:rPr>
                <w:color w:val="000000"/>
              </w:rPr>
              <w:t>4.1 System Architecture</w:t>
            </w:r>
          </w:p>
        </w:tc>
        <w:tc>
          <w:tcPr>
            <w:tcW w:w="1296" w:type="dxa"/>
          </w:tcPr>
          <w:p w14:paraId="3DFD5713" w14:textId="018F5182" w:rsidR="00AE6271" w:rsidRDefault="00760D04" w:rsidP="0008591A">
            <w:pPr>
              <w:spacing w:before="20" w:after="20"/>
              <w:jc w:val="center"/>
            </w:pPr>
            <w:r>
              <w:t>13</w:t>
            </w:r>
          </w:p>
        </w:tc>
      </w:tr>
      <w:tr w:rsidR="00AE6271" w14:paraId="47AFE2D3" w14:textId="77777777">
        <w:trPr>
          <w:jc w:val="center"/>
        </w:trPr>
        <w:tc>
          <w:tcPr>
            <w:tcW w:w="1224" w:type="dxa"/>
          </w:tcPr>
          <w:p w14:paraId="608A596C" w14:textId="77777777" w:rsidR="00AE6271" w:rsidRDefault="00AE6271">
            <w:pPr>
              <w:spacing w:before="20" w:after="20"/>
            </w:pPr>
          </w:p>
        </w:tc>
        <w:tc>
          <w:tcPr>
            <w:tcW w:w="6840" w:type="dxa"/>
          </w:tcPr>
          <w:p w14:paraId="36955F6C" w14:textId="77777777" w:rsidR="00AE6271" w:rsidRDefault="00000000">
            <w:pPr>
              <w:spacing w:before="20" w:after="20"/>
            </w:pPr>
            <w:r>
              <w:rPr>
                <w:color w:val="000000"/>
              </w:rPr>
              <w:t>4.2 Design</w:t>
            </w:r>
          </w:p>
        </w:tc>
        <w:tc>
          <w:tcPr>
            <w:tcW w:w="1296" w:type="dxa"/>
          </w:tcPr>
          <w:p w14:paraId="1B7A8E40" w14:textId="35CEE53E" w:rsidR="00AE6271" w:rsidRDefault="00760D04" w:rsidP="0008591A">
            <w:pPr>
              <w:spacing w:before="20" w:after="20"/>
              <w:jc w:val="center"/>
            </w:pPr>
            <w:r>
              <w:t>14</w:t>
            </w:r>
          </w:p>
        </w:tc>
      </w:tr>
      <w:tr w:rsidR="00AE6271" w14:paraId="082D2AE3" w14:textId="77777777">
        <w:trPr>
          <w:jc w:val="center"/>
        </w:trPr>
        <w:tc>
          <w:tcPr>
            <w:tcW w:w="1224" w:type="dxa"/>
          </w:tcPr>
          <w:p w14:paraId="419D8D9F" w14:textId="77777777" w:rsidR="00AE6271" w:rsidRDefault="00AE6271">
            <w:pPr>
              <w:spacing w:before="20" w:after="20"/>
            </w:pPr>
          </w:p>
        </w:tc>
        <w:tc>
          <w:tcPr>
            <w:tcW w:w="6840" w:type="dxa"/>
          </w:tcPr>
          <w:p w14:paraId="544EE5DA" w14:textId="77777777" w:rsidR="00AE6271" w:rsidRDefault="00000000">
            <w:pPr>
              <w:spacing w:before="20" w:after="20"/>
            </w:pPr>
            <w:r>
              <w:rPr>
                <w:color w:val="000000"/>
              </w:rPr>
              <w:t>4.2.1 Data Flow Diagram</w:t>
            </w:r>
          </w:p>
        </w:tc>
        <w:tc>
          <w:tcPr>
            <w:tcW w:w="1296" w:type="dxa"/>
          </w:tcPr>
          <w:p w14:paraId="71D4B4E8" w14:textId="14FAE2B8" w:rsidR="00AE6271" w:rsidRDefault="00760D04" w:rsidP="0008591A">
            <w:pPr>
              <w:spacing w:before="20" w:after="20"/>
              <w:jc w:val="center"/>
            </w:pPr>
            <w:r>
              <w:t>14</w:t>
            </w:r>
          </w:p>
        </w:tc>
      </w:tr>
      <w:tr w:rsidR="00AE6271" w14:paraId="3D637BF2" w14:textId="77777777">
        <w:trPr>
          <w:jc w:val="center"/>
        </w:trPr>
        <w:tc>
          <w:tcPr>
            <w:tcW w:w="1224" w:type="dxa"/>
          </w:tcPr>
          <w:p w14:paraId="47D2EAA8" w14:textId="77777777" w:rsidR="00AE6271" w:rsidRDefault="00AE6271">
            <w:pPr>
              <w:spacing w:before="20" w:after="20"/>
            </w:pPr>
          </w:p>
        </w:tc>
        <w:tc>
          <w:tcPr>
            <w:tcW w:w="6840" w:type="dxa"/>
          </w:tcPr>
          <w:p w14:paraId="0180FE9C" w14:textId="77777777" w:rsidR="00AE6271" w:rsidRDefault="00000000">
            <w:pPr>
              <w:spacing w:before="20" w:after="20"/>
            </w:pPr>
            <w:r>
              <w:rPr>
                <w:color w:val="000000"/>
              </w:rPr>
              <w:t>4.2.2 Use Case Diagram</w:t>
            </w:r>
          </w:p>
        </w:tc>
        <w:tc>
          <w:tcPr>
            <w:tcW w:w="1296" w:type="dxa"/>
          </w:tcPr>
          <w:p w14:paraId="4CB45667" w14:textId="441EEE03" w:rsidR="00AE6271" w:rsidRDefault="00760D04" w:rsidP="0008591A">
            <w:pPr>
              <w:spacing w:before="20" w:after="20"/>
              <w:jc w:val="center"/>
            </w:pPr>
            <w:r>
              <w:t>15</w:t>
            </w:r>
          </w:p>
        </w:tc>
      </w:tr>
      <w:tr w:rsidR="00AE6271" w14:paraId="12FE2FE3" w14:textId="77777777">
        <w:trPr>
          <w:jc w:val="center"/>
        </w:trPr>
        <w:tc>
          <w:tcPr>
            <w:tcW w:w="1224" w:type="dxa"/>
          </w:tcPr>
          <w:p w14:paraId="2C96BFA4" w14:textId="77777777" w:rsidR="00AE6271" w:rsidRDefault="00AE6271">
            <w:pPr>
              <w:spacing w:before="20" w:after="20"/>
            </w:pPr>
          </w:p>
        </w:tc>
        <w:tc>
          <w:tcPr>
            <w:tcW w:w="6840" w:type="dxa"/>
          </w:tcPr>
          <w:p w14:paraId="2E42D06B" w14:textId="77777777" w:rsidR="00AE6271" w:rsidRDefault="00000000">
            <w:pPr>
              <w:spacing w:before="20" w:after="20"/>
            </w:pPr>
            <w:r>
              <w:rPr>
                <w:color w:val="000000"/>
              </w:rPr>
              <w:t>4.2.3 Class Diagram</w:t>
            </w:r>
          </w:p>
        </w:tc>
        <w:tc>
          <w:tcPr>
            <w:tcW w:w="1296" w:type="dxa"/>
          </w:tcPr>
          <w:p w14:paraId="54426A8B" w14:textId="4B438208" w:rsidR="00AE6271" w:rsidRDefault="00760D04" w:rsidP="0008591A">
            <w:pPr>
              <w:spacing w:before="20" w:after="20"/>
              <w:jc w:val="center"/>
            </w:pPr>
            <w:r>
              <w:t>16</w:t>
            </w:r>
          </w:p>
        </w:tc>
      </w:tr>
      <w:tr w:rsidR="00AE6271" w14:paraId="054752B3" w14:textId="77777777">
        <w:trPr>
          <w:jc w:val="center"/>
        </w:trPr>
        <w:tc>
          <w:tcPr>
            <w:tcW w:w="1224" w:type="dxa"/>
          </w:tcPr>
          <w:p w14:paraId="3C7FE5B1" w14:textId="77777777" w:rsidR="00AE6271" w:rsidRDefault="00AE6271">
            <w:pPr>
              <w:spacing w:before="20" w:after="20"/>
            </w:pPr>
          </w:p>
        </w:tc>
        <w:tc>
          <w:tcPr>
            <w:tcW w:w="6840" w:type="dxa"/>
          </w:tcPr>
          <w:p w14:paraId="119B830E" w14:textId="77777777" w:rsidR="00AE6271" w:rsidRDefault="00000000">
            <w:pPr>
              <w:spacing w:before="20" w:after="20"/>
            </w:pPr>
            <w:r>
              <w:rPr>
                <w:color w:val="000000"/>
              </w:rPr>
              <w:t>4.2.4 Sequence Diagram</w:t>
            </w:r>
          </w:p>
        </w:tc>
        <w:tc>
          <w:tcPr>
            <w:tcW w:w="1296" w:type="dxa"/>
          </w:tcPr>
          <w:p w14:paraId="15FF7C11" w14:textId="714EE755" w:rsidR="00AE6271" w:rsidRDefault="00760D04" w:rsidP="0008591A">
            <w:pPr>
              <w:spacing w:before="20" w:after="20"/>
              <w:jc w:val="center"/>
            </w:pPr>
            <w:r>
              <w:t>17</w:t>
            </w:r>
          </w:p>
        </w:tc>
      </w:tr>
      <w:tr w:rsidR="00AE6271" w14:paraId="7E6857B8" w14:textId="77777777">
        <w:trPr>
          <w:jc w:val="center"/>
        </w:trPr>
        <w:tc>
          <w:tcPr>
            <w:tcW w:w="1224" w:type="dxa"/>
          </w:tcPr>
          <w:p w14:paraId="1C3C4B30" w14:textId="77777777" w:rsidR="00AE6271" w:rsidRDefault="00AE6271">
            <w:pPr>
              <w:spacing w:before="20" w:after="20"/>
            </w:pPr>
          </w:p>
        </w:tc>
        <w:tc>
          <w:tcPr>
            <w:tcW w:w="6840" w:type="dxa"/>
          </w:tcPr>
          <w:p w14:paraId="501D1FB7" w14:textId="77777777" w:rsidR="00AE6271" w:rsidRDefault="00000000">
            <w:pPr>
              <w:spacing w:before="20" w:after="20"/>
            </w:pPr>
            <w:r>
              <w:rPr>
                <w:color w:val="000000"/>
              </w:rPr>
              <w:t>4.3 Implementation and Preliminary Results</w:t>
            </w:r>
          </w:p>
        </w:tc>
        <w:tc>
          <w:tcPr>
            <w:tcW w:w="1296" w:type="dxa"/>
          </w:tcPr>
          <w:p w14:paraId="0856A0ED" w14:textId="7C14E7FB" w:rsidR="00AE6271" w:rsidRDefault="00760D04" w:rsidP="0008591A">
            <w:pPr>
              <w:spacing w:before="20" w:after="20"/>
              <w:jc w:val="center"/>
            </w:pPr>
            <w:r>
              <w:t>18</w:t>
            </w:r>
          </w:p>
        </w:tc>
      </w:tr>
      <w:tr w:rsidR="00AE6271" w14:paraId="5FE1A172" w14:textId="77777777">
        <w:trPr>
          <w:jc w:val="center"/>
        </w:trPr>
        <w:tc>
          <w:tcPr>
            <w:tcW w:w="1224" w:type="dxa"/>
          </w:tcPr>
          <w:p w14:paraId="03FA33D2" w14:textId="77777777" w:rsidR="00AE6271" w:rsidRDefault="00000000">
            <w:pPr>
              <w:spacing w:before="20" w:after="20"/>
            </w:pPr>
            <w:r>
              <w:rPr>
                <w:color w:val="000000"/>
              </w:rPr>
              <w:t>5.</w:t>
            </w:r>
          </w:p>
        </w:tc>
        <w:tc>
          <w:tcPr>
            <w:tcW w:w="6840" w:type="dxa"/>
          </w:tcPr>
          <w:p w14:paraId="30A2AA13" w14:textId="77777777" w:rsidR="00AE6271" w:rsidRDefault="00000000">
            <w:pPr>
              <w:spacing w:before="20" w:after="20"/>
            </w:pPr>
            <w:r>
              <w:rPr>
                <w:color w:val="000000"/>
              </w:rPr>
              <w:t>REFERENCES</w:t>
            </w:r>
          </w:p>
        </w:tc>
        <w:tc>
          <w:tcPr>
            <w:tcW w:w="1296" w:type="dxa"/>
          </w:tcPr>
          <w:p w14:paraId="6B6369E0" w14:textId="38EAD890" w:rsidR="00AE6271" w:rsidRDefault="00760D04" w:rsidP="0008591A">
            <w:pPr>
              <w:spacing w:before="20" w:after="20"/>
              <w:jc w:val="center"/>
            </w:pPr>
            <w:r>
              <w:t>23</w:t>
            </w:r>
          </w:p>
        </w:tc>
      </w:tr>
    </w:tbl>
    <w:p w14:paraId="6DFB81FB" w14:textId="77777777" w:rsidR="00AE6271" w:rsidRDefault="00AE6271">
      <w:pPr>
        <w:spacing w:after="120" w:line="276" w:lineRule="auto"/>
      </w:pPr>
    </w:p>
    <w:p w14:paraId="1B93BAAA" w14:textId="77777777" w:rsidR="0008591A" w:rsidRDefault="00000000">
      <w:pPr>
        <w:sectPr w:rsidR="0008591A" w:rsidSect="0008591A">
          <w:footerReference w:type="default" r:id="rId10"/>
          <w:pgSz w:w="11906" w:h="16838"/>
          <w:pgMar w:top="1440" w:right="1440" w:bottom="1440" w:left="1440" w:header="1276" w:footer="709" w:gutter="0"/>
          <w:pgNumType w:fmt="lowerRoman" w:start="1"/>
          <w:cols w:space="720"/>
        </w:sectPr>
      </w:pPr>
      <w:r>
        <w:br w:type="page"/>
      </w:r>
    </w:p>
    <w:p w14:paraId="6AAEFBAB" w14:textId="77777777" w:rsidR="00AE6271" w:rsidRDefault="00000000">
      <w:pPr>
        <w:keepNext/>
        <w:spacing w:after="160" w:line="360" w:lineRule="auto"/>
      </w:pPr>
      <w:r>
        <w:rPr>
          <w:b/>
          <w:color w:val="000000"/>
          <w:sz w:val="28"/>
        </w:rPr>
        <w:lastRenderedPageBreak/>
        <w:t>1. INTRODUCTION</w:t>
      </w:r>
    </w:p>
    <w:p w14:paraId="55F9CFC6" w14:textId="77777777" w:rsidR="00AE6271" w:rsidRDefault="00000000">
      <w:pPr>
        <w:keepNext/>
        <w:spacing w:before="280" w:after="160" w:line="360" w:lineRule="auto"/>
      </w:pPr>
      <w:r>
        <w:rPr>
          <w:b/>
          <w:color w:val="000000"/>
          <w:sz w:val="26"/>
        </w:rPr>
        <w:t>1.1 Background</w:t>
      </w:r>
    </w:p>
    <w:p w14:paraId="6BA4B40C" w14:textId="77777777" w:rsidR="00AE6271" w:rsidRDefault="00000000">
      <w:pPr>
        <w:spacing w:after="120" w:line="276" w:lineRule="auto"/>
        <w:jc w:val="both"/>
      </w:pPr>
      <w:r>
        <w:rPr>
          <w:color w:val="000000"/>
        </w:rPr>
        <w:t>Parkinson's Disease affects over eight million people worldwide and progresses at a rate that varies widely between patients. Clinical severity is tracked with the Movement Disorder Society Unified Parkinson's Disease Rating Scale (MDS-UPDRS), whose Part III motor examination is the accepted measure of motor burden. Because no single measurement captures the disease, longitudinal observational studies collect several modalities in parallel. The Parkinson's Progression Markers Initiative (PPMI) is the largest such study, providing clinical scales, structural MRI, dopamine transporter (DaTScan) imaging and genetic testing for thousands of participants. Machine learning on these records has consistently shown that combining modalities outperforms any one of them for diagnosis and for progression tracking. However, the practical conditions under which such models must operate are demanding: records are incomplete at the level of the individual patient, the modalities differ greatly in reliability, and the data is distributed across clinical sites that are legally and ethically constrained from sharing raw patient records. This project develops a framework designed for exactly those conditions.</w:t>
      </w:r>
    </w:p>
    <w:p w14:paraId="289C1763" w14:textId="77777777" w:rsidR="00AE6271" w:rsidRDefault="00000000">
      <w:pPr>
        <w:keepNext/>
        <w:spacing w:before="280" w:after="160" w:line="360" w:lineRule="auto"/>
      </w:pPr>
      <w:r>
        <w:rPr>
          <w:b/>
          <w:color w:val="000000"/>
          <w:sz w:val="26"/>
        </w:rPr>
        <w:t>1.2 Motivation</w:t>
      </w:r>
    </w:p>
    <w:p w14:paraId="073A0184" w14:textId="77777777" w:rsidR="00AE6271" w:rsidRDefault="00000000">
      <w:pPr>
        <w:spacing w:after="120" w:line="276" w:lineRule="auto"/>
        <w:jc w:val="both"/>
      </w:pPr>
      <w:r>
        <w:rPr>
          <w:color w:val="000000"/>
        </w:rPr>
        <w:t>Three observations motivated this work. First, existing multimodal architectures fuse modalities symmetrically, implicitly treating a complete clinical assessment and a frequently absent genetic panel as equally informative; in the cohort assembled here the clinical block is complete for every subject while genetic results are missing for 78 per cent of them. Second, most published pipelines assume complete records and either discard incomplete patients or impute the missing modality, both of which distort the cohort. Third, and most consequentially, reported accuracy in this field is often inflated by evaluation choices rather than by modelling: predicting an absolute follow-up UPDRS-III score is dominated by its autocorrelation with the baseline score, and preprocessing statistics fitted before splitting leak test information into training. Preliminary experiments in this project reproduced that effect directly, with the headline metric falling from 0.825 to 0.147 once the target was changed to true progression. The motivation is therefore not only to build a privacy-preserving multimodal architecture but to measure it honestly, so that the reported gain is one a clinician could rely on.</w:t>
      </w:r>
    </w:p>
    <w:p w14:paraId="5758E28B" w14:textId="77777777" w:rsidR="00AE6271" w:rsidRDefault="00000000">
      <w:pPr>
        <w:keepNext/>
        <w:spacing w:before="280" w:after="160" w:line="360" w:lineRule="auto"/>
      </w:pPr>
      <w:r>
        <w:rPr>
          <w:b/>
          <w:color w:val="000000"/>
          <w:sz w:val="26"/>
        </w:rPr>
        <w:t>1.3 Scope of the Project</w:t>
      </w:r>
    </w:p>
    <w:p w14:paraId="07F7D42D" w14:textId="77777777" w:rsidR="00AE6271" w:rsidRDefault="00000000">
      <w:pPr>
        <w:spacing w:after="120" w:line="276" w:lineRule="auto"/>
        <w:jc w:val="both"/>
      </w:pPr>
      <w:r>
        <w:rPr>
          <w:color w:val="000000"/>
        </w:rPr>
        <w:t xml:space="preserve">The project covers the complete pipeline from raw PPMI records to an explained prediction. In scope are the clinical, DaTScan and genetic modalities loaded from PPMI study-data CSV files; the structural MRI branch, whose nilearn Schaefer-100 parcellation pipeline is implemented and switched by a single configuration flag; a leak-free evaluation protocol; the Fed-PhenoGraft architecture; a twelve-model classical baseline suite; and an explainability suite. Prediction targets are the two-year change in MDS-UPDRS Part III and the binary PD versus control label. Several boundaries are stated explicitly. Federation is simulated on one </w:t>
      </w:r>
      <w:r>
        <w:rPr>
          <w:color w:val="000000"/>
        </w:rPr>
        <w:lastRenderedPageBreak/>
        <w:t>machine across four clients rather than deployed across real hospital networks, although real-site partitioning is implemented and activates when the PPMI Center-Subject list is supplied. The MRI branch currently runs on a synthetic fallback because the T1-weighted image collections have not finished downloading. The formulation is cross-sectional, mapping baseline to the year-two visit rather than modelling the full trajectory. Formal differential privacy is not implemented. The system is a research instrument and is not a diagnostic device.</w:t>
      </w:r>
    </w:p>
    <w:p w14:paraId="4993887B" w14:textId="77777777" w:rsidR="00AE6271" w:rsidRDefault="00000000">
      <w:r>
        <w:br w:type="page"/>
      </w:r>
    </w:p>
    <w:p w14:paraId="3BE7B11F" w14:textId="77777777" w:rsidR="00AE6271" w:rsidRDefault="00000000">
      <w:pPr>
        <w:keepNext/>
        <w:spacing w:after="160" w:line="360" w:lineRule="auto"/>
      </w:pPr>
      <w:r>
        <w:rPr>
          <w:b/>
          <w:color w:val="000000"/>
          <w:sz w:val="28"/>
        </w:rPr>
        <w:lastRenderedPageBreak/>
        <w:t>2. PROJECT DESCRIPTION AND GOALS</w:t>
      </w:r>
    </w:p>
    <w:p w14:paraId="4282D551" w14:textId="77777777" w:rsidR="00AE6271" w:rsidRDefault="00000000">
      <w:pPr>
        <w:keepNext/>
        <w:spacing w:before="280" w:after="160" w:line="360" w:lineRule="auto"/>
      </w:pPr>
      <w:r>
        <w:rPr>
          <w:b/>
          <w:color w:val="000000"/>
          <w:sz w:val="26"/>
        </w:rPr>
        <w:t>2.1 Literature Review</w:t>
      </w:r>
    </w:p>
    <w:p w14:paraId="14F203E7" w14:textId="77777777" w:rsidR="0008591A" w:rsidRPr="0008591A" w:rsidRDefault="0008591A" w:rsidP="0008591A">
      <w:pPr>
        <w:keepNext/>
        <w:spacing w:before="280" w:after="160" w:line="360" w:lineRule="auto"/>
        <w:rPr>
          <w:color w:val="000000"/>
          <w:lang w:val="en-US"/>
        </w:rPr>
      </w:pPr>
      <w:r w:rsidRPr="0008591A">
        <w:rPr>
          <w:color w:val="000000"/>
          <w:lang w:val="en-US"/>
        </w:rPr>
        <w:t>Parkinson’s disease (PD) is heterogeneous, making single-biomarker diagnosis and progression modelling insufficient. Recent research therefore increasingly combines clinical assessments, neuroimaging, genetics, speech, gait, and wearable signals. Multimodal studies show that these sources provide complementary information, although small cohorts, heterogeneous datasets, and limited validation remain major challenges [1], [2]. The PPMI dataset is particularly valuable because it provides longitudinal clinical, imaging, and biospecimen measurements, and studies have shown that multimodal integration can improve PD classification and prognosis over isolated modalities [3]–[8].</w:t>
      </w:r>
    </w:p>
    <w:p w14:paraId="238C7655"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Early multimodal approaches established the value of combining complementary biomarkers. Lu </w:t>
      </w:r>
      <w:r w:rsidRPr="0008591A">
        <w:rPr>
          <w:i/>
          <w:iCs/>
          <w:color w:val="000000"/>
          <w:lang w:val="en-US"/>
        </w:rPr>
        <w:t>et al.</w:t>
      </w:r>
      <w:r w:rsidRPr="0008591A">
        <w:rPr>
          <w:color w:val="000000"/>
          <w:lang w:val="en-US"/>
        </w:rPr>
        <w:t xml:space="preserve"> [3] integrated genetic, speech, and clinical information, while Lian </w:t>
      </w:r>
      <w:r w:rsidRPr="0008591A">
        <w:rPr>
          <w:i/>
          <w:iCs/>
          <w:color w:val="000000"/>
          <w:lang w:val="en-US"/>
        </w:rPr>
        <w:t>et al.</w:t>
      </w:r>
      <w:r w:rsidRPr="0008591A">
        <w:rPr>
          <w:color w:val="000000"/>
          <w:lang w:val="en-US"/>
        </w:rPr>
        <w:t xml:space="preserve"> [4] incorporated clinical, MRI, and genetic data for personalized progression modelling. Yang </w:t>
      </w:r>
      <w:r w:rsidRPr="0008591A">
        <w:rPr>
          <w:i/>
          <w:iCs/>
          <w:color w:val="000000"/>
          <w:lang w:val="en-US"/>
        </w:rPr>
        <w:t>et al.</w:t>
      </w:r>
      <w:r w:rsidRPr="0008591A">
        <w:rPr>
          <w:color w:val="000000"/>
          <w:lang w:val="en-US"/>
        </w:rPr>
        <w:t xml:space="preserve"> [5] combined MRI and genetics, Chowdhury </w:t>
      </w:r>
      <w:r w:rsidRPr="0008591A">
        <w:rPr>
          <w:i/>
          <w:iCs/>
          <w:color w:val="000000"/>
          <w:lang w:val="en-US"/>
        </w:rPr>
        <w:t>et al.</w:t>
      </w:r>
      <w:r w:rsidRPr="0008591A">
        <w:rPr>
          <w:color w:val="000000"/>
          <w:lang w:val="en-US"/>
        </w:rPr>
        <w:t xml:space="preserve"> [6] integrated PET and tremor information, Roberts </w:t>
      </w:r>
      <w:r w:rsidRPr="0008591A">
        <w:rPr>
          <w:i/>
          <w:iCs/>
          <w:color w:val="000000"/>
          <w:lang w:val="en-US"/>
        </w:rPr>
        <w:t>et al.</w:t>
      </w:r>
      <w:r w:rsidRPr="0008591A">
        <w:rPr>
          <w:color w:val="000000"/>
          <w:lang w:val="en-US"/>
        </w:rPr>
        <w:t xml:space="preserve"> [7] used MEG-derived features, and Dentamaro </w:t>
      </w:r>
      <w:r w:rsidRPr="0008591A">
        <w:rPr>
          <w:i/>
          <w:iCs/>
          <w:color w:val="000000"/>
          <w:lang w:val="en-US"/>
        </w:rPr>
        <w:t>et al.</w:t>
      </w:r>
      <w:r w:rsidRPr="0008591A">
        <w:rPr>
          <w:color w:val="000000"/>
          <w:lang w:val="en-US"/>
        </w:rPr>
        <w:t xml:space="preserve"> [8] combined multimodal deep learning with explainable AI. These studies demonstrate complementary multimodal information but generally assume fixed, available modalities rather than missing observations or distributed privacy-preserving training.</w:t>
      </w:r>
    </w:p>
    <w:p w14:paraId="5EA4644F"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Longitudinal prediction is more clinically meaningful than simple diagnosis because it estimates future disease evolution. Vamvakas </w:t>
      </w:r>
      <w:r w:rsidRPr="0008591A">
        <w:rPr>
          <w:i/>
          <w:iCs/>
          <w:color w:val="000000"/>
          <w:lang w:val="en-US"/>
        </w:rPr>
        <w:t>et al.</w:t>
      </w:r>
      <w:r w:rsidRPr="0008591A">
        <w:rPr>
          <w:color w:val="000000"/>
          <w:lang w:val="en-US"/>
        </w:rPr>
        <w:t xml:space="preserve"> [9] used clinical, dopamine-transporter SPECT, and SNP information for longitudinal prediction of impulse-control disorders, while Lian </w:t>
      </w:r>
      <w:r w:rsidRPr="0008591A">
        <w:rPr>
          <w:i/>
          <w:iCs/>
          <w:color w:val="000000"/>
          <w:lang w:val="en-US"/>
        </w:rPr>
        <w:t>et al.</w:t>
      </w:r>
      <w:r w:rsidRPr="0008591A">
        <w:rPr>
          <w:color w:val="000000"/>
          <w:lang w:val="en-US"/>
        </w:rPr>
        <w:t xml:space="preserve"> [4] demonstrated personalized progression modelling. These findings motivate predicting change in MDS-UPDRS Part III over two years, rather than merely predicting an absolute follow-up score, which can retain substantial information from baseline severity.</w:t>
      </w:r>
    </w:p>
    <w:p w14:paraId="63A904D6"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Recent architectures increasingly use attention and learned latent representations for multimodal fusion. Akram and K. [10] employed multimodal feature selection and graph-attention fusion, while Zhi </w:t>
      </w:r>
      <w:r w:rsidRPr="0008591A">
        <w:rPr>
          <w:i/>
          <w:iCs/>
          <w:color w:val="000000"/>
          <w:lang w:val="en-US"/>
        </w:rPr>
        <w:t>et al.</w:t>
      </w:r>
      <w:r w:rsidRPr="0008591A">
        <w:rPr>
          <w:color w:val="000000"/>
          <w:lang w:val="en-US"/>
        </w:rPr>
        <w:t xml:space="preserve"> [11] developed MultimodalCNN-PD. Zhang </w:t>
      </w:r>
      <w:r w:rsidRPr="0008591A">
        <w:rPr>
          <w:i/>
          <w:iCs/>
          <w:color w:val="000000"/>
          <w:lang w:val="en-US"/>
        </w:rPr>
        <w:t>et al.</w:t>
      </w:r>
      <w:r w:rsidRPr="0008591A">
        <w:rPr>
          <w:color w:val="000000"/>
          <w:lang w:val="en-US"/>
        </w:rPr>
        <w:t xml:space="preserve"> [12] investigated attention-based MRI, DAT-SPECT, and clinical fusion, and Lv </w:t>
      </w:r>
      <w:r w:rsidRPr="0008591A">
        <w:rPr>
          <w:i/>
          <w:iCs/>
          <w:color w:val="000000"/>
          <w:lang w:val="en-US"/>
        </w:rPr>
        <w:t>et al.</w:t>
      </w:r>
      <w:r w:rsidRPr="0008591A">
        <w:rPr>
          <w:color w:val="000000"/>
          <w:lang w:val="en-US"/>
        </w:rPr>
        <w:t xml:space="preserve"> [13] used Transformer cross-attention for audio-visual PD detection. Unlike these largely symmetric fusion strategies, Fed-PhenoGraft uses clinical phenotype as the query and MRI, DaTScan, </w:t>
      </w:r>
      <w:r w:rsidRPr="0008591A">
        <w:rPr>
          <w:color w:val="000000"/>
          <w:lang w:val="en-US"/>
        </w:rPr>
        <w:lastRenderedPageBreak/>
        <w:t>and genetic representations as keys and values, allowing the clinical state to determine which auxiliary information is relevant.</w:t>
      </w:r>
    </w:p>
    <w:p w14:paraId="662B7349"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High-dimensional multimodal data also motivate sparse and subspace-based representation learning. Huang </w:t>
      </w:r>
      <w:r w:rsidRPr="0008591A">
        <w:rPr>
          <w:i/>
          <w:iCs/>
          <w:color w:val="000000"/>
          <w:lang w:val="en-US"/>
        </w:rPr>
        <w:t>et al.</w:t>
      </w:r>
      <w:r w:rsidRPr="0008591A">
        <w:rPr>
          <w:color w:val="000000"/>
          <w:lang w:val="en-US"/>
        </w:rPr>
        <w:t xml:space="preserve"> [14] proposed adaptive sparse learning using multimodal PPMI information, Li </w:t>
      </w:r>
      <w:r w:rsidRPr="0008591A">
        <w:rPr>
          <w:i/>
          <w:iCs/>
          <w:color w:val="000000"/>
          <w:lang w:val="en-US"/>
        </w:rPr>
        <w:t>et al.</w:t>
      </w:r>
      <w:r w:rsidRPr="0008591A">
        <w:rPr>
          <w:color w:val="000000"/>
          <w:lang w:val="en-US"/>
        </w:rPr>
        <w:t xml:space="preserve"> [15] investigated adaptive subspace learning across MRI, DTI, genetics, and longitudinal data, and Song </w:t>
      </w:r>
      <w:r w:rsidRPr="0008591A">
        <w:rPr>
          <w:i/>
          <w:iCs/>
          <w:color w:val="000000"/>
          <w:lang w:val="en-US"/>
        </w:rPr>
        <w:t>et al.</w:t>
      </w:r>
      <w:r w:rsidRPr="0008591A">
        <w:rPr>
          <w:color w:val="000000"/>
          <w:lang w:val="en-US"/>
        </w:rPr>
        <w:t xml:space="preserve"> [16] introduced a joint-subspace model combining cross-modal learning, sparse selection, and longitudinal information. These works support compact latent representations, while Fed-PhenoGraft extends this idea through explicit shared-private representations and HSIC regularization to separate common disease information from modality-specific characteristics.</w:t>
      </w:r>
    </w:p>
    <w:p w14:paraId="2BF2A6CA"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Neuroimaging remains a major PD-AI modality. Wang </w:t>
      </w:r>
      <w:r w:rsidRPr="0008591A">
        <w:rPr>
          <w:i/>
          <w:iCs/>
          <w:color w:val="000000"/>
          <w:lang w:val="en-US"/>
        </w:rPr>
        <w:t>et al.</w:t>
      </w:r>
      <w:r w:rsidRPr="0008591A">
        <w:rPr>
          <w:color w:val="000000"/>
          <w:lang w:val="en-US"/>
        </w:rPr>
        <w:t xml:space="preserve"> [17] combined MRI and clinical information using a CNN-LSTM framework, Yang </w:t>
      </w:r>
      <w:r w:rsidRPr="0008591A">
        <w:rPr>
          <w:i/>
          <w:iCs/>
          <w:color w:val="000000"/>
          <w:lang w:val="en-US"/>
        </w:rPr>
        <w:t>et al.</w:t>
      </w:r>
      <w:r w:rsidRPr="0008591A">
        <w:rPr>
          <w:color w:val="000000"/>
          <w:lang w:val="en-US"/>
        </w:rPr>
        <w:t xml:space="preserve"> [5] integrated MRI and genetics, Alorf [18] fused T1, T2-FLAIR, and cognitive information, and Kotecha </w:t>
      </w:r>
      <w:r w:rsidRPr="0008591A">
        <w:rPr>
          <w:i/>
          <w:iCs/>
          <w:color w:val="000000"/>
          <w:lang w:val="en-US"/>
        </w:rPr>
        <w:t>et al.</w:t>
      </w:r>
      <w:r w:rsidRPr="0008591A">
        <w:rPr>
          <w:color w:val="000000"/>
          <w:lang w:val="en-US"/>
        </w:rPr>
        <w:t xml:space="preserve"> [19] applied explainable learning to PPMI neuroimaging. Other studies demonstrate the value of behavioural and physiological modalities: Liu </w:t>
      </w:r>
      <w:r w:rsidRPr="0008591A">
        <w:rPr>
          <w:i/>
          <w:iCs/>
          <w:color w:val="000000"/>
          <w:lang w:val="en-US"/>
        </w:rPr>
        <w:t>et al.</w:t>
      </w:r>
      <w:r w:rsidRPr="0008591A">
        <w:rPr>
          <w:color w:val="000000"/>
          <w:lang w:val="en-US"/>
        </w:rPr>
        <w:t xml:space="preserve"> [20] combined speech and wearable sensors; Ji </w:t>
      </w:r>
      <w:r w:rsidRPr="0008591A">
        <w:rPr>
          <w:i/>
          <w:iCs/>
          <w:color w:val="000000"/>
          <w:lang w:val="en-US"/>
        </w:rPr>
        <w:t>et al.</w:t>
      </w:r>
      <w:r w:rsidRPr="0008591A">
        <w:rPr>
          <w:color w:val="000000"/>
          <w:lang w:val="en-US"/>
        </w:rPr>
        <w:t xml:space="preserve"> [21] used multimodal gait signals with ST-CNN-Transformer modelling; Xu </w:t>
      </w:r>
      <w:r w:rsidRPr="0008591A">
        <w:rPr>
          <w:i/>
          <w:iCs/>
          <w:color w:val="000000"/>
          <w:lang w:val="en-US"/>
        </w:rPr>
        <w:t>et al.</w:t>
      </w:r>
      <w:r w:rsidRPr="0008591A">
        <w:rPr>
          <w:color w:val="000000"/>
          <w:lang w:val="en-US"/>
        </w:rPr>
        <w:t xml:space="preserve"> [22] developed graph-based multimodal freezing-of-gait assessment; and Raj </w:t>
      </w:r>
      <w:r w:rsidRPr="0008591A">
        <w:rPr>
          <w:i/>
          <w:iCs/>
          <w:color w:val="000000"/>
          <w:lang w:val="en-US"/>
        </w:rPr>
        <w:t>et al.</w:t>
      </w:r>
      <w:r w:rsidRPr="0008591A">
        <w:rPr>
          <w:color w:val="000000"/>
          <w:lang w:val="en-US"/>
        </w:rPr>
        <w:t xml:space="preserve"> [23], [24] investigated visibility-graph and recurrence-network representations for multimodal PD severity classification.</w:t>
      </w:r>
    </w:p>
    <w:p w14:paraId="16F5631C"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Further multimodal work has combined video, handwriting, speech, gait, and body measurements. Ivanova </w:t>
      </w:r>
      <w:r w:rsidRPr="0008591A">
        <w:rPr>
          <w:i/>
          <w:iCs/>
          <w:color w:val="000000"/>
          <w:lang w:val="en-US"/>
        </w:rPr>
        <w:t>et al.</w:t>
      </w:r>
      <w:r w:rsidRPr="0008591A">
        <w:rPr>
          <w:color w:val="000000"/>
          <w:lang w:val="en-US"/>
        </w:rPr>
        <w:t xml:space="preserve"> [25] integrated video and sensor information, Bi </w:t>
      </w:r>
      <w:r w:rsidRPr="0008591A">
        <w:rPr>
          <w:i/>
          <w:iCs/>
          <w:color w:val="000000"/>
          <w:lang w:val="en-US"/>
        </w:rPr>
        <w:t>et al.</w:t>
      </w:r>
      <w:r w:rsidRPr="0008591A">
        <w:rPr>
          <w:color w:val="000000"/>
          <w:lang w:val="en-US"/>
        </w:rPr>
        <w:t xml:space="preserve"> [26] combined dynamic handwriting and kinematic data, and Anumandla </w:t>
      </w:r>
      <w:r w:rsidRPr="0008591A">
        <w:rPr>
          <w:i/>
          <w:iCs/>
          <w:color w:val="000000"/>
          <w:lang w:val="en-US"/>
        </w:rPr>
        <w:t>et al.</w:t>
      </w:r>
      <w:r w:rsidRPr="0008591A">
        <w:rPr>
          <w:color w:val="000000"/>
          <w:lang w:val="en-US"/>
        </w:rPr>
        <w:t xml:space="preserve"> [27] fused speech and handwriting using CNN, VAE, and Transformer components. Sousani </w:t>
      </w:r>
      <w:r w:rsidRPr="0008591A">
        <w:rPr>
          <w:i/>
          <w:iCs/>
          <w:color w:val="000000"/>
          <w:lang w:val="en-US"/>
        </w:rPr>
        <w:t>et al.</w:t>
      </w:r>
      <w:r w:rsidRPr="0008591A">
        <w:rPr>
          <w:color w:val="000000"/>
          <w:lang w:val="en-US"/>
        </w:rPr>
        <w:t xml:space="preserve"> [28] demonstrated that combined fNIRS and IMU information outperformed either modality alone, while Park </w:t>
      </w:r>
      <w:r w:rsidRPr="0008591A">
        <w:rPr>
          <w:i/>
          <w:iCs/>
          <w:color w:val="000000"/>
          <w:lang w:val="en-US"/>
        </w:rPr>
        <w:t>et al.</w:t>
      </w:r>
      <w:r w:rsidRPr="0008591A">
        <w:rPr>
          <w:color w:val="000000"/>
          <w:lang w:val="en-US"/>
        </w:rPr>
        <w:t xml:space="preserve"> [29] combined clinical, lifestyle, gait, physical-function, and wearable information to identify PD severity subtypes. These studies reinforce the importance of modality-specific representations and reliability-aware fusion, but many use relatively small, specialized datasets and do not address longitudinal progression.</w:t>
      </w:r>
    </w:p>
    <w:p w14:paraId="5EE7E6D6"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Explainability has also become increasingly important. Awasthi </w:t>
      </w:r>
      <w:r w:rsidRPr="0008591A">
        <w:rPr>
          <w:i/>
          <w:iCs/>
          <w:color w:val="000000"/>
          <w:lang w:val="en-US"/>
        </w:rPr>
        <w:t>et al.</w:t>
      </w:r>
      <w:r w:rsidRPr="0008591A">
        <w:rPr>
          <w:color w:val="000000"/>
          <w:lang w:val="en-US"/>
        </w:rPr>
        <w:t xml:space="preserve"> [30] combined ConvNeXtV2 and Swin Transformer representations with explainability, while Dentamaro </w:t>
      </w:r>
      <w:r w:rsidRPr="0008591A">
        <w:rPr>
          <w:i/>
          <w:iCs/>
          <w:color w:val="000000"/>
          <w:lang w:val="en-US"/>
        </w:rPr>
        <w:t>et al.</w:t>
      </w:r>
      <w:r w:rsidRPr="0008591A">
        <w:rPr>
          <w:color w:val="000000"/>
          <w:lang w:val="en-US"/>
        </w:rPr>
        <w:t xml:space="preserve"> [8], Alorf [18], and Kotecha </w:t>
      </w:r>
      <w:r w:rsidRPr="0008591A">
        <w:rPr>
          <w:i/>
          <w:iCs/>
          <w:color w:val="000000"/>
          <w:lang w:val="en-US"/>
        </w:rPr>
        <w:t>et al.</w:t>
      </w:r>
      <w:r w:rsidRPr="0008591A">
        <w:rPr>
          <w:color w:val="000000"/>
          <w:lang w:val="en-US"/>
        </w:rPr>
        <w:t xml:space="preserve"> [19] similarly demonstrated interpretable multimodal or </w:t>
      </w:r>
      <w:r w:rsidRPr="0008591A">
        <w:rPr>
          <w:color w:val="000000"/>
          <w:lang w:val="en-US"/>
        </w:rPr>
        <w:lastRenderedPageBreak/>
        <w:t>neuroimaging-based prediction. These studies motivate combining multiple explanation mechanisms in Fed-PhenoGraft, including attention inspection, integrated gradients, missing-modality stress testing, and counterfactual analysis.</w:t>
      </w:r>
    </w:p>
    <w:p w14:paraId="018F8C64"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Digital-twin research provides a broader framework for personalized disease modelling. Angiolelli </w:t>
      </w:r>
      <w:r w:rsidRPr="0008591A">
        <w:rPr>
          <w:i/>
          <w:iCs/>
          <w:color w:val="000000"/>
          <w:lang w:val="en-US"/>
        </w:rPr>
        <w:t>et al.</w:t>
      </w:r>
      <w:r w:rsidRPr="0008591A">
        <w:rPr>
          <w:color w:val="000000"/>
          <w:lang w:val="en-US"/>
        </w:rPr>
        <w:t xml:space="preserve"> [31] developed the Virtual Parkinsonian Patient, while Ritter </w:t>
      </w:r>
      <w:r w:rsidRPr="0008591A">
        <w:rPr>
          <w:i/>
          <w:iCs/>
          <w:color w:val="000000"/>
          <w:lang w:val="en-US"/>
        </w:rPr>
        <w:t>et al.</w:t>
      </w:r>
      <w:r w:rsidRPr="0008591A">
        <w:rPr>
          <w:color w:val="000000"/>
          <w:lang w:val="en-US"/>
        </w:rPr>
        <w:t xml:space="preserve"> [32] and Jirsa </w:t>
      </w:r>
      <w:r w:rsidRPr="0008591A">
        <w:rPr>
          <w:i/>
          <w:iCs/>
          <w:color w:val="000000"/>
          <w:lang w:val="en-US"/>
        </w:rPr>
        <w:t>et al.</w:t>
      </w:r>
      <w:r w:rsidRPr="0008591A">
        <w:rPr>
          <w:color w:val="000000"/>
          <w:lang w:val="en-US"/>
        </w:rPr>
        <w:t xml:space="preserve"> [33] explored personalized whole-brain and cloud-based simulation using clinical, imaging, and multi-omics information. Wen [34], Zhang </w:t>
      </w:r>
      <w:r w:rsidRPr="0008591A">
        <w:rPr>
          <w:i/>
          <w:iCs/>
          <w:color w:val="000000"/>
          <w:lang w:val="en-US"/>
        </w:rPr>
        <w:t>et al.</w:t>
      </w:r>
      <w:r w:rsidRPr="0008591A">
        <w:rPr>
          <w:color w:val="000000"/>
          <w:lang w:val="en-US"/>
        </w:rPr>
        <w:t xml:space="preserve"> [35], De Benedictis </w:t>
      </w:r>
      <w:r w:rsidRPr="0008591A">
        <w:rPr>
          <w:i/>
          <w:iCs/>
          <w:color w:val="000000"/>
          <w:lang w:val="en-US"/>
        </w:rPr>
        <w:t>et al.</w:t>
      </w:r>
      <w:r w:rsidRPr="0008591A">
        <w:rPr>
          <w:color w:val="000000"/>
          <w:lang w:val="en-US"/>
        </w:rPr>
        <w:t xml:space="preserve"> [36], Roopa and Venugopal [37], and Rahimi </w:t>
      </w:r>
      <w:r w:rsidRPr="0008591A">
        <w:rPr>
          <w:i/>
          <w:iCs/>
          <w:color w:val="000000"/>
          <w:lang w:val="en-US"/>
        </w:rPr>
        <w:t>et al.</w:t>
      </w:r>
      <w:r w:rsidRPr="0008591A">
        <w:rPr>
          <w:color w:val="000000"/>
          <w:lang w:val="en-US"/>
        </w:rPr>
        <w:t xml:space="preserve"> [38] further examined multimodal medical digital twins, healthcare architectures, and AI-enabled clinical decision-making. However, these systems generally address broader healthcare infrastructure rather than the specific combination of PD progression, missing modalities, and federated learning considered here.</w:t>
      </w:r>
    </w:p>
    <w:p w14:paraId="7B099A56"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Privacy-preserving distributed learning provides an important complementary direction. Danek </w:t>
      </w:r>
      <w:r w:rsidRPr="0008591A">
        <w:rPr>
          <w:i/>
          <w:iCs/>
          <w:color w:val="000000"/>
          <w:lang w:val="en-US"/>
        </w:rPr>
        <w:t>et al.</w:t>
      </w:r>
      <w:r w:rsidRPr="0008591A">
        <w:rPr>
          <w:color w:val="000000"/>
          <w:lang w:val="en-US"/>
        </w:rPr>
        <w:t xml:space="preserve"> [40] demonstrated federated learning for multi-omics PD prediction and showed that federated performance can approach centralized learning while remaining sensitive to the distribution of samples across sites. Ducange </w:t>
      </w:r>
      <w:r w:rsidRPr="0008591A">
        <w:rPr>
          <w:i/>
          <w:iCs/>
          <w:color w:val="000000"/>
          <w:lang w:val="en-US"/>
        </w:rPr>
        <w:t>et al.</w:t>
      </w:r>
      <w:r w:rsidRPr="0008591A">
        <w:rPr>
          <w:color w:val="000000"/>
          <w:lang w:val="en-US"/>
        </w:rPr>
        <w:t xml:space="preserve"> [41] combined federated learning with explainable AI for PD, demonstrating that privacy-preserving training and interpretability can coexist. However, these approaches do not simultaneously incorporate phenotype-guided asymmetric attention, shared-private decomposition, and explicit missing-modality representations. Federated learning also does not automatically provide formal differential privacy.</w:t>
      </w:r>
    </w:p>
    <w:p w14:paraId="3A72D66C"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Recent reviews reinforce these unresolved challenges. Miah </w:t>
      </w:r>
      <w:r w:rsidRPr="0008591A">
        <w:rPr>
          <w:i/>
          <w:iCs/>
          <w:color w:val="000000"/>
          <w:lang w:val="en-US"/>
        </w:rPr>
        <w:t>et al.</w:t>
      </w:r>
      <w:r w:rsidRPr="0008591A">
        <w:rPr>
          <w:color w:val="000000"/>
          <w:lang w:val="en-US"/>
        </w:rPr>
        <w:t xml:space="preserve"> [39] surveyed PD detection across MRI, gait, handwriting, speech, EEG, and multimodal data; Zhao </w:t>
      </w:r>
      <w:r w:rsidRPr="0008591A">
        <w:rPr>
          <w:i/>
          <w:iCs/>
          <w:color w:val="000000"/>
          <w:lang w:val="en-US"/>
        </w:rPr>
        <w:t>et al.</w:t>
      </w:r>
      <w:r w:rsidRPr="0008591A">
        <w:rPr>
          <w:color w:val="000000"/>
          <w:lang w:val="en-US"/>
        </w:rPr>
        <w:t xml:space="preserve"> [49] reviewed multimodal AI for PD detection and assessment; and Huang </w:t>
      </w:r>
      <w:r w:rsidRPr="0008591A">
        <w:rPr>
          <w:i/>
          <w:iCs/>
          <w:color w:val="000000"/>
          <w:lang w:val="en-US"/>
        </w:rPr>
        <w:t>et al.</w:t>
      </w:r>
      <w:r w:rsidRPr="0008591A">
        <w:rPr>
          <w:color w:val="000000"/>
          <w:lang w:val="en-US"/>
        </w:rPr>
        <w:t xml:space="preserve"> [50] reviewed multimodal learning using clinically accessible tests for neurodegenerative disorders, emphasizing the need for stronger validation and larger cohorts. Together with adaptive multimodal learning [14], [16], attention-based fusion [10], [12], [13], and behavioural multimodal studies [20], [25]–[29], the literature reveals four major gaps: incomplete multimodal observations, insufficiently asymmetric fusion, limited privacy-preserving multimodal progression modelling, and inadequate longitudinal evaluation.</w:t>
      </w:r>
    </w:p>
    <w:p w14:paraId="6298B1F1" w14:textId="77777777" w:rsidR="0008591A" w:rsidRPr="0008591A" w:rsidRDefault="0008591A" w:rsidP="0008591A">
      <w:pPr>
        <w:keepNext/>
        <w:spacing w:before="280" w:after="160" w:line="360" w:lineRule="auto"/>
        <w:rPr>
          <w:color w:val="000000"/>
          <w:lang w:val="en-US"/>
        </w:rPr>
      </w:pPr>
      <w:r w:rsidRPr="0008591A">
        <w:rPr>
          <w:color w:val="000000"/>
          <w:lang w:val="en-US"/>
        </w:rPr>
        <w:t xml:space="preserve">These gaps motivate Fed-PhenoGraft, which uses the clinical phenotype as a query to retrieve relevant information from MRI, DaTScan, and genetic modalities, while separating shared </w:t>
      </w:r>
      <w:r w:rsidRPr="0008591A">
        <w:rPr>
          <w:color w:val="000000"/>
          <w:lang w:val="en-US"/>
        </w:rPr>
        <w:lastRenderedPageBreak/>
        <w:t>and private representations through HSIC regularization. Learned mask tokens allow missing modalities to remain explicitly represented rather than imputed, and sample-weighted FedAvg enables distributed training across non-IID clinical sites. The model evaluates two-year MDS-UPDRS Part III change using subject-level, leakage-resistant evaluation. Its preliminary diagnostic ROC-AUC of approximately 0.982, alongside a substantially lower progression CCC of approximately 0.147, further demonstrates that excellent diagnosis does not necessarily translate into accurate progression prediction. Thus, the central contribution is not simply higher classification accuracy, but robust multimodal progression modelling under missing data, distributed learning, and rigorous longitudinal evaluation.</w:t>
      </w:r>
    </w:p>
    <w:p w14:paraId="732F0714" w14:textId="77777777" w:rsidR="00AE6271" w:rsidRDefault="00000000">
      <w:pPr>
        <w:keepNext/>
        <w:spacing w:before="280" w:after="160" w:line="360" w:lineRule="auto"/>
      </w:pPr>
      <w:r>
        <w:rPr>
          <w:b/>
          <w:color w:val="000000"/>
          <w:sz w:val="26"/>
        </w:rPr>
        <w:t>2.2 Research Gap</w:t>
      </w:r>
    </w:p>
    <w:p w14:paraId="6E2F79E8" w14:textId="77777777" w:rsidR="00AE6271" w:rsidRDefault="00000000">
      <w:pPr>
        <w:spacing w:after="80" w:line="276" w:lineRule="auto"/>
        <w:ind w:left="792" w:hanging="360"/>
      </w:pPr>
      <w:r>
        <w:rPr>
          <w:color w:val="000000"/>
        </w:rPr>
        <w:t>•</w:t>
      </w:r>
      <w:r>
        <w:rPr>
          <w:color w:val="000000"/>
        </w:rPr>
        <w:tab/>
      </w:r>
      <w:r>
        <w:rPr>
          <w:b/>
          <w:color w:val="000000"/>
        </w:rPr>
        <w:t>Limited integration of multimodal data.</w:t>
      </w:r>
      <w:r>
        <w:rPr>
          <w:color w:val="000000"/>
        </w:rPr>
        <w:t xml:space="preserve"> Most published work uses only one or two modalities, so the complementary information carried jointly by MRI, DaTScan, clinical scales and genetics is never fully exploited. Fusion on PPMI has been shown to outperform unimodal approaches for progression tracking [1], [4], but full four-modality integration remains uncommon.</w:t>
      </w:r>
    </w:p>
    <w:p w14:paraId="2E64ABFF" w14:textId="77777777" w:rsidR="00AE6271" w:rsidRDefault="00000000">
      <w:pPr>
        <w:spacing w:after="80" w:line="276" w:lineRule="auto"/>
        <w:ind w:left="792" w:hanging="360"/>
      </w:pPr>
      <w:r>
        <w:rPr>
          <w:color w:val="000000"/>
        </w:rPr>
        <w:t>•</w:t>
      </w:r>
      <w:r>
        <w:rPr>
          <w:color w:val="000000"/>
        </w:rPr>
        <w:tab/>
      </w:r>
      <w:r>
        <w:rPr>
          <w:b/>
          <w:color w:val="000000"/>
        </w:rPr>
        <w:t>Poor handling of incomplete multimodal data.</w:t>
      </w:r>
      <w:r>
        <w:rPr>
          <w:color w:val="000000"/>
        </w:rPr>
        <w:t xml:space="preserve"> Multimodal models generally assume complete patient records, whereas real clinical cohorts are sparse. Models that discard incomplete subjects shrink and bias the cohort; models that impute a missing modality manufacture signal that was never measured.</w:t>
      </w:r>
    </w:p>
    <w:p w14:paraId="67273312" w14:textId="77777777" w:rsidR="00AE6271" w:rsidRDefault="00000000">
      <w:pPr>
        <w:spacing w:after="80" w:line="276" w:lineRule="auto"/>
        <w:ind w:left="792" w:hanging="360"/>
      </w:pPr>
      <w:r>
        <w:rPr>
          <w:color w:val="000000"/>
        </w:rPr>
        <w:t>•</w:t>
      </w:r>
      <w:r>
        <w:rPr>
          <w:color w:val="000000"/>
        </w:rPr>
        <w:tab/>
      </w:r>
      <w:r>
        <w:rPr>
          <w:b/>
          <w:color w:val="000000"/>
        </w:rPr>
        <w:t>Symmetric fusion ignores modality reliability.</w:t>
      </w:r>
      <w:r>
        <w:rPr>
          <w:color w:val="000000"/>
        </w:rPr>
        <w:t xml:space="preserve"> Cross-attention modules that align modalities and weight them dynamically have improved feature extraction [2], but they still treat every modality as an equal partner. No mechanism designates the most complete and most trustworthy modality as the one that directs retrieval from the others.</w:t>
      </w:r>
    </w:p>
    <w:p w14:paraId="65DF26C8" w14:textId="77777777" w:rsidR="00AE6271" w:rsidRDefault="00000000">
      <w:pPr>
        <w:spacing w:after="80" w:line="276" w:lineRule="auto"/>
        <w:ind w:left="792" w:hanging="360"/>
      </w:pPr>
      <w:r>
        <w:rPr>
          <w:color w:val="000000"/>
        </w:rPr>
        <w:t>•</w:t>
      </w:r>
      <w:r>
        <w:rPr>
          <w:color w:val="000000"/>
        </w:rPr>
        <w:tab/>
      </w:r>
      <w:r>
        <w:rPr>
          <w:b/>
          <w:color w:val="000000"/>
        </w:rPr>
        <w:t>No leak-free, privacy-preserving progression benchmark.</w:t>
      </w:r>
      <w:r>
        <w:rPr>
          <w:color w:val="000000"/>
        </w:rPr>
        <w:t xml:space="preserve"> Explainability is increasingly demanded of neuroimaging models for PD [3], and digital twin and reinforcement learning approaches have been applied to rehabilitation and medication management [5], [6]. What is missing is a benchmark that combines federated training with a protocol strict enough - subject-level splits, train-only statistics, a progression rather than absolute target, and single-use test evaluation - for the reported numbers to be trusted.</w:t>
      </w:r>
    </w:p>
    <w:p w14:paraId="3CDFC06A" w14:textId="77777777" w:rsidR="00AE6271" w:rsidRDefault="00000000">
      <w:pPr>
        <w:keepNext/>
        <w:spacing w:before="280" w:after="160" w:line="360" w:lineRule="auto"/>
      </w:pPr>
      <w:r>
        <w:rPr>
          <w:b/>
          <w:color w:val="000000"/>
          <w:sz w:val="26"/>
        </w:rPr>
        <w:t>2.3 Objectives</w:t>
      </w:r>
    </w:p>
    <w:p w14:paraId="6EE582B7" w14:textId="77777777" w:rsidR="00AE6271" w:rsidRDefault="00000000">
      <w:pPr>
        <w:spacing w:after="120" w:line="276" w:lineRule="auto"/>
        <w:ind w:left="792" w:hanging="432"/>
      </w:pPr>
      <w:r>
        <w:rPr>
          <w:b/>
          <w:color w:val="000000"/>
        </w:rPr>
        <w:t>1.</w:t>
      </w:r>
      <w:r>
        <w:rPr>
          <w:b/>
          <w:color w:val="000000"/>
        </w:rPr>
        <w:tab/>
      </w:r>
      <w:r>
        <w:rPr>
          <w:color w:val="000000"/>
        </w:rPr>
        <w:t>To design a Phenotype-Guided Asymmetric Attention mechanism in which clinical features act as the query and selectively retrieve information from MRI, DaTScan and genetic representations.</w:t>
      </w:r>
    </w:p>
    <w:p w14:paraId="75D48902" w14:textId="77777777" w:rsidR="00AE6271" w:rsidRDefault="00000000">
      <w:pPr>
        <w:spacing w:after="120" w:line="276" w:lineRule="auto"/>
        <w:ind w:left="792" w:hanging="432"/>
      </w:pPr>
      <w:r>
        <w:rPr>
          <w:b/>
          <w:color w:val="000000"/>
        </w:rPr>
        <w:lastRenderedPageBreak/>
        <w:t>2.</w:t>
      </w:r>
      <w:r>
        <w:rPr>
          <w:b/>
          <w:color w:val="000000"/>
        </w:rPr>
        <w:tab/>
      </w:r>
      <w:r>
        <w:rPr>
          <w:color w:val="000000"/>
        </w:rPr>
        <w:t>To implement a Shared-Private Latent Decomposition regularised by HSIC orthogonality, so that disease-relevant biomarkers are separated from modality-specific noise.</w:t>
      </w:r>
    </w:p>
    <w:p w14:paraId="75990C88" w14:textId="77777777" w:rsidR="00AE6271" w:rsidRDefault="00000000">
      <w:pPr>
        <w:spacing w:after="120" w:line="276" w:lineRule="auto"/>
        <w:ind w:left="792" w:hanging="432"/>
      </w:pPr>
      <w:r>
        <w:rPr>
          <w:b/>
          <w:color w:val="000000"/>
        </w:rPr>
        <w:t>3.</w:t>
      </w:r>
      <w:r>
        <w:rPr>
          <w:b/>
          <w:color w:val="000000"/>
        </w:rPr>
        <w:tab/>
      </w:r>
      <w:r>
        <w:rPr>
          <w:color w:val="000000"/>
        </w:rPr>
        <w:t>To build a federated learning pipeline based on sample-weighted FedAvg that trains across multiple simulated clinical sites without centralising raw patient data.</w:t>
      </w:r>
    </w:p>
    <w:p w14:paraId="0B82B286" w14:textId="77777777" w:rsidR="00AE6271" w:rsidRDefault="00000000">
      <w:pPr>
        <w:spacing w:after="120" w:line="276" w:lineRule="auto"/>
        <w:ind w:left="792" w:hanging="432"/>
      </w:pPr>
      <w:r>
        <w:rPr>
          <w:b/>
          <w:color w:val="000000"/>
        </w:rPr>
        <w:t>4.</w:t>
      </w:r>
      <w:r>
        <w:rPr>
          <w:b/>
          <w:color w:val="000000"/>
        </w:rPr>
        <w:tab/>
      </w:r>
      <w:r>
        <w:rPr>
          <w:color w:val="000000"/>
        </w:rPr>
        <w:t>To incorporate robustness features, namely learned mask tokens for absent modalities and Monte Carlo dropout for uncertainty estimation.</w:t>
      </w:r>
    </w:p>
    <w:p w14:paraId="30076E8F" w14:textId="77777777" w:rsidR="00AE6271" w:rsidRDefault="00000000">
      <w:pPr>
        <w:spacing w:after="120" w:line="276" w:lineRule="auto"/>
        <w:ind w:left="792" w:hanging="432"/>
      </w:pPr>
      <w:r>
        <w:rPr>
          <w:b/>
          <w:color w:val="000000"/>
        </w:rPr>
        <w:t>5.</w:t>
      </w:r>
      <w:r>
        <w:rPr>
          <w:b/>
          <w:color w:val="000000"/>
        </w:rPr>
        <w:tab/>
      </w:r>
      <w:r>
        <w:rPr>
          <w:color w:val="000000"/>
        </w:rPr>
        <w:t>To validate the framework under a leak-free protocol against twelve classical baselines with bootstrap confidence intervals, multi-seed repetition and an eight-variant ablation, supported by a multi-level explainability suite comprising attention maps, integrated gradients, a missing-modality stress test and counterfactual analysis.</w:t>
      </w:r>
    </w:p>
    <w:p w14:paraId="2829406A" w14:textId="77777777" w:rsidR="00AE6271" w:rsidRDefault="00000000">
      <w:pPr>
        <w:keepNext/>
        <w:spacing w:before="280" w:after="160" w:line="360" w:lineRule="auto"/>
      </w:pPr>
      <w:r>
        <w:rPr>
          <w:b/>
          <w:color w:val="000000"/>
          <w:sz w:val="26"/>
        </w:rPr>
        <w:t>2.4 Problem Statement</w:t>
      </w:r>
    </w:p>
    <w:p w14:paraId="5198DB87" w14:textId="77777777" w:rsidR="00AE6271" w:rsidRDefault="00000000">
      <w:pPr>
        <w:spacing w:after="120" w:line="276" w:lineRule="auto"/>
        <w:jc w:val="both"/>
      </w:pPr>
      <w:r>
        <w:rPr>
          <w:color w:val="000000"/>
        </w:rPr>
        <w:t>Let a cohort of N subjects be described by four modality blocks - clinical phenotype, structural MRI, DaTScan and genetics - where any block other than the clinical one may be entirely absent for a given subject, and where the subjects are partitioned across K clinical sites that cannot exchange raw records.</w:t>
      </w:r>
    </w:p>
    <w:p w14:paraId="702AACA5" w14:textId="77777777" w:rsidR="00AE6271" w:rsidRDefault="00000000">
      <w:pPr>
        <w:spacing w:after="120" w:line="276" w:lineRule="auto"/>
        <w:jc w:val="both"/>
      </w:pPr>
      <w:r>
        <w:rPr>
          <w:color w:val="000000"/>
        </w:rPr>
        <w:t>The problem is to learn a single mapping that predicts, for each subject, the change in MDS-UPDRS Part III between the baseline and the year-two visit, and simultaneously the binary PD versus healthy-control label, subject to three constraints: no raw feature vector may cross a site boundary during training; the model must accept subjects with missing modalities without imputing them; and the evaluation must be free of leakage, meaning that every subject belongs to exactly one partition, all preprocessing statistics are estimated on the training partition alone, no target value is imputed, and the held-out test set is scored exactly once after training has concluded.</w:t>
      </w:r>
    </w:p>
    <w:p w14:paraId="78197899" w14:textId="7249596F" w:rsidR="00AE6271" w:rsidRDefault="00000000" w:rsidP="00760D04">
      <w:pPr>
        <w:spacing w:after="120" w:line="276" w:lineRule="auto"/>
        <w:jc w:val="both"/>
      </w:pPr>
      <w:r>
        <w:rPr>
          <w:color w:val="000000"/>
        </w:rPr>
        <w:t xml:space="preserve">The measure of success is the concordance correlation coefficient on the progression target and the area under the ROC curve on the diagnosis target, each reported with a bootstrap confidence </w:t>
      </w:r>
      <w:r>
        <w:rPr>
          <w:b/>
          <w:color w:val="000000"/>
          <w:sz w:val="26"/>
        </w:rPr>
        <w:t>2.5 Project Plan</w:t>
      </w:r>
    </w:p>
    <w:p w14:paraId="0434869D" w14:textId="57CD586E" w:rsidR="00AE6271" w:rsidRDefault="00000000">
      <w:pPr>
        <w:spacing w:after="120" w:line="276" w:lineRule="auto"/>
        <w:jc w:val="both"/>
        <w:rPr>
          <w:color w:val="000000"/>
        </w:rPr>
      </w:pPr>
      <w:r>
        <w:rPr>
          <w:color w:val="000000"/>
        </w:rPr>
        <w:t xml:space="preserve">The project is organised into twelve phases across </w:t>
      </w:r>
      <w:r w:rsidR="00C46E12">
        <w:rPr>
          <w:color w:val="000000"/>
        </w:rPr>
        <w:t>the</w:t>
      </w:r>
      <w:r>
        <w:rPr>
          <w:color w:val="000000"/>
        </w:rPr>
        <w:t xml:space="preserve"> semesters. The phases completed during Project-I are anchored to the repository's commit history; the remainder constitute the Project-II plan. Fig. 1 presents the schedule as a Gantt chart and Table 1 lists the corresponding deliverables.</w:t>
      </w:r>
    </w:p>
    <w:p w14:paraId="10340D1A" w14:textId="27410E48" w:rsidR="00760D04" w:rsidRPr="00760D04" w:rsidRDefault="00760D04" w:rsidP="00760D04">
      <w:pPr>
        <w:spacing w:after="120" w:line="276" w:lineRule="auto"/>
        <w:jc w:val="both"/>
      </w:pPr>
      <w:r>
        <w:rPr>
          <w:b/>
          <w:noProof/>
          <w:color w:val="000000"/>
          <w:sz w:val="26"/>
        </w:rPr>
        <w:lastRenderedPageBreak/>
        <w:drawing>
          <wp:inline distT="0" distB="0" distL="0" distR="0" wp14:anchorId="58E80CC4" wp14:editId="05CDA6AC">
            <wp:extent cx="5731510" cy="3057525"/>
            <wp:effectExtent l="0" t="0" r="2540" b="9525"/>
            <wp:docPr id="584333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3431" name="Picture 5843334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57525"/>
                    </a:xfrm>
                    <a:prstGeom prst="rect">
                      <a:avLst/>
                    </a:prstGeom>
                  </pic:spPr>
                </pic:pic>
              </a:graphicData>
            </a:graphic>
          </wp:inline>
        </w:drawing>
      </w:r>
    </w:p>
    <w:p w14:paraId="4038DCAA" w14:textId="77777777" w:rsidR="00760D04" w:rsidRDefault="00760D04" w:rsidP="00760D04">
      <w:pPr>
        <w:keepNext/>
        <w:spacing w:before="160" w:after="40"/>
        <w:jc w:val="center"/>
        <w:rPr>
          <w:i/>
          <w:color w:val="595959"/>
          <w:sz w:val="22"/>
        </w:rPr>
      </w:pPr>
    </w:p>
    <w:p w14:paraId="64DA493A" w14:textId="37E751C6" w:rsidR="00AE6271" w:rsidRDefault="00000000" w:rsidP="00760D04">
      <w:pPr>
        <w:keepNext/>
        <w:spacing w:before="160" w:after="40"/>
        <w:jc w:val="center"/>
      </w:pPr>
      <w:r>
        <w:rPr>
          <w:i/>
          <w:color w:val="595959"/>
          <w:sz w:val="22"/>
        </w:rPr>
        <w:t>Fig. 1. Project schedule (Gantt chart).</w:t>
      </w:r>
    </w:p>
    <w:tbl>
      <w:tblPr>
        <w:tblStyle w:val="TableGrid"/>
        <w:tblW w:w="0" w:type="auto"/>
        <w:jc w:val="center"/>
        <w:tblLayout w:type="fixed"/>
        <w:tblLook w:val="04A0" w:firstRow="1" w:lastRow="0" w:firstColumn="1" w:lastColumn="0" w:noHBand="0" w:noVBand="1"/>
      </w:tblPr>
      <w:tblGrid>
        <w:gridCol w:w="3600"/>
        <w:gridCol w:w="1656"/>
        <w:gridCol w:w="2664"/>
        <w:gridCol w:w="1224"/>
      </w:tblGrid>
      <w:tr w:rsidR="00AE6271" w14:paraId="3A22AAF7" w14:textId="77777777">
        <w:trPr>
          <w:jc w:val="center"/>
        </w:trPr>
        <w:tc>
          <w:tcPr>
            <w:tcW w:w="3600" w:type="dxa"/>
            <w:shd w:val="clear" w:color="auto" w:fill="D9E2F3"/>
          </w:tcPr>
          <w:p w14:paraId="253826B1" w14:textId="77777777" w:rsidR="00AE6271" w:rsidRDefault="00000000">
            <w:pPr>
              <w:spacing w:before="20" w:after="20"/>
            </w:pPr>
            <w:r>
              <w:rPr>
                <w:b/>
                <w:color w:val="000000"/>
                <w:sz w:val="20"/>
              </w:rPr>
              <w:t>Phase</w:t>
            </w:r>
          </w:p>
        </w:tc>
        <w:tc>
          <w:tcPr>
            <w:tcW w:w="1656" w:type="dxa"/>
            <w:shd w:val="clear" w:color="auto" w:fill="D9E2F3"/>
          </w:tcPr>
          <w:p w14:paraId="76310800" w14:textId="77777777" w:rsidR="00AE6271" w:rsidRDefault="00000000">
            <w:pPr>
              <w:spacing w:before="20" w:after="20"/>
            </w:pPr>
            <w:r>
              <w:rPr>
                <w:b/>
                <w:color w:val="000000"/>
                <w:sz w:val="20"/>
              </w:rPr>
              <w:t>Period</w:t>
            </w:r>
          </w:p>
        </w:tc>
        <w:tc>
          <w:tcPr>
            <w:tcW w:w="2664" w:type="dxa"/>
            <w:shd w:val="clear" w:color="auto" w:fill="D9E2F3"/>
          </w:tcPr>
          <w:p w14:paraId="520CCE93" w14:textId="77777777" w:rsidR="00AE6271" w:rsidRDefault="00000000">
            <w:pPr>
              <w:spacing w:before="20" w:after="20"/>
            </w:pPr>
            <w:r>
              <w:rPr>
                <w:b/>
                <w:color w:val="000000"/>
                <w:sz w:val="20"/>
              </w:rPr>
              <w:t>Key deliverable</w:t>
            </w:r>
          </w:p>
        </w:tc>
        <w:tc>
          <w:tcPr>
            <w:tcW w:w="1224" w:type="dxa"/>
            <w:shd w:val="clear" w:color="auto" w:fill="D9E2F3"/>
          </w:tcPr>
          <w:p w14:paraId="505DD0DE" w14:textId="77777777" w:rsidR="00AE6271" w:rsidRDefault="00000000">
            <w:pPr>
              <w:spacing w:before="20" w:after="20"/>
            </w:pPr>
            <w:r>
              <w:rPr>
                <w:b/>
                <w:color w:val="000000"/>
                <w:sz w:val="20"/>
              </w:rPr>
              <w:t>Status</w:t>
            </w:r>
          </w:p>
        </w:tc>
      </w:tr>
      <w:tr w:rsidR="00AE6271" w14:paraId="32CDE1FF" w14:textId="77777777">
        <w:trPr>
          <w:jc w:val="center"/>
        </w:trPr>
        <w:tc>
          <w:tcPr>
            <w:tcW w:w="3600" w:type="dxa"/>
          </w:tcPr>
          <w:p w14:paraId="5F05A929" w14:textId="77777777" w:rsidR="00AE6271" w:rsidRDefault="00000000">
            <w:pPr>
              <w:spacing w:before="20" w:after="20"/>
            </w:pPr>
            <w:r>
              <w:rPr>
                <w:color w:val="000000"/>
                <w:sz w:val="20"/>
              </w:rPr>
              <w:t>Literature survey and problem formulation</w:t>
            </w:r>
          </w:p>
        </w:tc>
        <w:tc>
          <w:tcPr>
            <w:tcW w:w="1656" w:type="dxa"/>
          </w:tcPr>
          <w:p w14:paraId="77376527" w14:textId="77777777" w:rsidR="00AE6271" w:rsidRDefault="00000000">
            <w:pPr>
              <w:spacing w:before="20" w:after="20"/>
            </w:pPr>
            <w:r>
              <w:rPr>
                <w:color w:val="000000"/>
                <w:sz w:val="20"/>
              </w:rPr>
              <w:t>Jun 2026</w:t>
            </w:r>
          </w:p>
        </w:tc>
        <w:tc>
          <w:tcPr>
            <w:tcW w:w="2664" w:type="dxa"/>
          </w:tcPr>
          <w:p w14:paraId="23309283" w14:textId="77777777" w:rsidR="00AE6271" w:rsidRDefault="00000000">
            <w:pPr>
              <w:spacing w:before="20" w:after="20"/>
            </w:pPr>
            <w:r>
              <w:rPr>
                <w:color w:val="000000"/>
                <w:sz w:val="20"/>
              </w:rPr>
              <w:t>Research gap, objectives</w:t>
            </w:r>
          </w:p>
        </w:tc>
        <w:tc>
          <w:tcPr>
            <w:tcW w:w="1224" w:type="dxa"/>
          </w:tcPr>
          <w:p w14:paraId="1971837C" w14:textId="77777777" w:rsidR="00AE6271" w:rsidRDefault="00000000">
            <w:pPr>
              <w:spacing w:before="20" w:after="20"/>
            </w:pPr>
            <w:r>
              <w:rPr>
                <w:color w:val="000000"/>
                <w:sz w:val="20"/>
              </w:rPr>
              <w:t>Complete</w:t>
            </w:r>
          </w:p>
        </w:tc>
      </w:tr>
      <w:tr w:rsidR="00AE6271" w14:paraId="5E5CEBF8" w14:textId="77777777">
        <w:trPr>
          <w:jc w:val="center"/>
        </w:trPr>
        <w:tc>
          <w:tcPr>
            <w:tcW w:w="3600" w:type="dxa"/>
          </w:tcPr>
          <w:p w14:paraId="1F63C516" w14:textId="77777777" w:rsidR="00AE6271" w:rsidRDefault="00000000">
            <w:pPr>
              <w:spacing w:before="20" w:after="20"/>
            </w:pPr>
            <w:r>
              <w:rPr>
                <w:color w:val="000000"/>
                <w:sz w:val="20"/>
              </w:rPr>
              <w:t>PPMI data access and verification</w:t>
            </w:r>
          </w:p>
        </w:tc>
        <w:tc>
          <w:tcPr>
            <w:tcW w:w="1656" w:type="dxa"/>
          </w:tcPr>
          <w:p w14:paraId="518CA17A" w14:textId="77777777" w:rsidR="00AE6271" w:rsidRDefault="00000000">
            <w:pPr>
              <w:spacing w:before="20" w:after="20"/>
            </w:pPr>
            <w:r>
              <w:rPr>
                <w:color w:val="000000"/>
                <w:sz w:val="20"/>
              </w:rPr>
              <w:t>Jun 2026</w:t>
            </w:r>
          </w:p>
        </w:tc>
        <w:tc>
          <w:tcPr>
            <w:tcW w:w="2664" w:type="dxa"/>
          </w:tcPr>
          <w:p w14:paraId="1B1B9FE9" w14:textId="77777777" w:rsidR="00AE6271" w:rsidRDefault="00000000">
            <w:pPr>
              <w:spacing w:before="20" w:after="20"/>
            </w:pPr>
            <w:r>
              <w:rPr>
                <w:color w:val="000000"/>
                <w:sz w:val="20"/>
              </w:rPr>
              <w:t>10 study-data CSV files</w:t>
            </w:r>
          </w:p>
        </w:tc>
        <w:tc>
          <w:tcPr>
            <w:tcW w:w="1224" w:type="dxa"/>
          </w:tcPr>
          <w:p w14:paraId="0DD27847" w14:textId="77777777" w:rsidR="00AE6271" w:rsidRDefault="00000000">
            <w:pPr>
              <w:spacing w:before="20" w:after="20"/>
            </w:pPr>
            <w:r>
              <w:rPr>
                <w:color w:val="000000"/>
                <w:sz w:val="20"/>
              </w:rPr>
              <w:t>Complete</w:t>
            </w:r>
          </w:p>
        </w:tc>
      </w:tr>
      <w:tr w:rsidR="00AE6271" w14:paraId="2D6EA400" w14:textId="77777777">
        <w:trPr>
          <w:jc w:val="center"/>
        </w:trPr>
        <w:tc>
          <w:tcPr>
            <w:tcW w:w="3600" w:type="dxa"/>
          </w:tcPr>
          <w:p w14:paraId="2DD5816E" w14:textId="77777777" w:rsidR="00AE6271" w:rsidRDefault="00000000">
            <w:pPr>
              <w:spacing w:before="20" w:after="20"/>
            </w:pPr>
            <w:r>
              <w:rPr>
                <w:color w:val="000000"/>
                <w:sz w:val="20"/>
              </w:rPr>
              <w:t>Modality loaders and feature engineering</w:t>
            </w:r>
          </w:p>
        </w:tc>
        <w:tc>
          <w:tcPr>
            <w:tcW w:w="1656" w:type="dxa"/>
          </w:tcPr>
          <w:p w14:paraId="72D327DC" w14:textId="77777777" w:rsidR="00AE6271" w:rsidRDefault="00000000">
            <w:pPr>
              <w:spacing w:before="20" w:after="20"/>
            </w:pPr>
            <w:r>
              <w:rPr>
                <w:color w:val="000000"/>
                <w:sz w:val="20"/>
              </w:rPr>
              <w:t>Jun - Jul 2026</w:t>
            </w:r>
          </w:p>
        </w:tc>
        <w:tc>
          <w:tcPr>
            <w:tcW w:w="2664" w:type="dxa"/>
          </w:tcPr>
          <w:p w14:paraId="29AD0707" w14:textId="77777777" w:rsidR="00AE6271" w:rsidRDefault="00000000">
            <w:pPr>
              <w:spacing w:before="20" w:after="20"/>
            </w:pPr>
            <w:r>
              <w:rPr>
                <w:color w:val="000000"/>
                <w:sz w:val="20"/>
              </w:rPr>
              <w:t>126-feature aligned matrix</w:t>
            </w:r>
          </w:p>
        </w:tc>
        <w:tc>
          <w:tcPr>
            <w:tcW w:w="1224" w:type="dxa"/>
          </w:tcPr>
          <w:p w14:paraId="6DF364CB" w14:textId="77777777" w:rsidR="00AE6271" w:rsidRDefault="00000000">
            <w:pPr>
              <w:spacing w:before="20" w:after="20"/>
            </w:pPr>
            <w:r>
              <w:rPr>
                <w:color w:val="000000"/>
                <w:sz w:val="20"/>
              </w:rPr>
              <w:t>Complete</w:t>
            </w:r>
          </w:p>
        </w:tc>
      </w:tr>
      <w:tr w:rsidR="00AE6271" w14:paraId="7C464F9A" w14:textId="77777777">
        <w:trPr>
          <w:jc w:val="center"/>
        </w:trPr>
        <w:tc>
          <w:tcPr>
            <w:tcW w:w="3600" w:type="dxa"/>
          </w:tcPr>
          <w:p w14:paraId="08966F57" w14:textId="77777777" w:rsidR="00AE6271" w:rsidRDefault="00000000">
            <w:pPr>
              <w:spacing w:before="20" w:after="20"/>
            </w:pPr>
            <w:r>
              <w:rPr>
                <w:color w:val="000000"/>
                <w:sz w:val="20"/>
              </w:rPr>
              <w:t>Leak-free preprocessing and split protocol</w:t>
            </w:r>
          </w:p>
        </w:tc>
        <w:tc>
          <w:tcPr>
            <w:tcW w:w="1656" w:type="dxa"/>
          </w:tcPr>
          <w:p w14:paraId="0E3A2032" w14:textId="77777777" w:rsidR="00AE6271" w:rsidRDefault="00000000">
            <w:pPr>
              <w:spacing w:before="20" w:after="20"/>
            </w:pPr>
            <w:r>
              <w:rPr>
                <w:color w:val="000000"/>
                <w:sz w:val="20"/>
              </w:rPr>
              <w:t>Jun - Jul 2026</w:t>
            </w:r>
          </w:p>
        </w:tc>
        <w:tc>
          <w:tcPr>
            <w:tcW w:w="2664" w:type="dxa"/>
          </w:tcPr>
          <w:p w14:paraId="66F1CB7E" w14:textId="77777777" w:rsidR="00AE6271" w:rsidRDefault="00000000">
            <w:pPr>
              <w:spacing w:before="20" w:after="20"/>
            </w:pPr>
            <w:r>
              <w:rPr>
                <w:color w:val="000000"/>
                <w:sz w:val="20"/>
              </w:rPr>
              <w:t>Subject-level 70/15/15</w:t>
            </w:r>
          </w:p>
        </w:tc>
        <w:tc>
          <w:tcPr>
            <w:tcW w:w="1224" w:type="dxa"/>
          </w:tcPr>
          <w:p w14:paraId="65189CDA" w14:textId="77777777" w:rsidR="00AE6271" w:rsidRDefault="00000000">
            <w:pPr>
              <w:spacing w:before="20" w:after="20"/>
            </w:pPr>
            <w:r>
              <w:rPr>
                <w:color w:val="000000"/>
                <w:sz w:val="20"/>
              </w:rPr>
              <w:t>Complete</w:t>
            </w:r>
          </w:p>
        </w:tc>
      </w:tr>
      <w:tr w:rsidR="00AE6271" w14:paraId="7D0B3891" w14:textId="77777777">
        <w:trPr>
          <w:jc w:val="center"/>
        </w:trPr>
        <w:tc>
          <w:tcPr>
            <w:tcW w:w="3600" w:type="dxa"/>
          </w:tcPr>
          <w:p w14:paraId="3068C32D" w14:textId="77777777" w:rsidR="00AE6271" w:rsidRDefault="00000000">
            <w:pPr>
              <w:spacing w:before="20" w:after="20"/>
            </w:pPr>
            <w:r>
              <w:rPr>
                <w:color w:val="000000"/>
                <w:sz w:val="20"/>
              </w:rPr>
              <w:t>Fed-PhenoGraft model implementation</w:t>
            </w:r>
          </w:p>
        </w:tc>
        <w:tc>
          <w:tcPr>
            <w:tcW w:w="1656" w:type="dxa"/>
          </w:tcPr>
          <w:p w14:paraId="3E14757B" w14:textId="77777777" w:rsidR="00AE6271" w:rsidRDefault="00000000">
            <w:pPr>
              <w:spacing w:before="20" w:after="20"/>
            </w:pPr>
            <w:r>
              <w:rPr>
                <w:color w:val="000000"/>
                <w:sz w:val="20"/>
              </w:rPr>
              <w:t>Jul - Aug 2026</w:t>
            </w:r>
          </w:p>
        </w:tc>
        <w:tc>
          <w:tcPr>
            <w:tcW w:w="2664" w:type="dxa"/>
          </w:tcPr>
          <w:p w14:paraId="31EBCB3F" w14:textId="77777777" w:rsidR="00AE6271" w:rsidRDefault="00000000">
            <w:pPr>
              <w:spacing w:before="20" w:after="20"/>
            </w:pPr>
            <w:r>
              <w:rPr>
                <w:color w:val="000000"/>
                <w:sz w:val="20"/>
              </w:rPr>
              <w:t>Attention, HSIC, mask tokens</w:t>
            </w:r>
          </w:p>
        </w:tc>
        <w:tc>
          <w:tcPr>
            <w:tcW w:w="1224" w:type="dxa"/>
          </w:tcPr>
          <w:p w14:paraId="3DE10861" w14:textId="77777777" w:rsidR="00AE6271" w:rsidRDefault="00000000">
            <w:pPr>
              <w:spacing w:before="20" w:after="20"/>
            </w:pPr>
            <w:r>
              <w:rPr>
                <w:color w:val="000000"/>
                <w:sz w:val="20"/>
              </w:rPr>
              <w:t>Complete</w:t>
            </w:r>
          </w:p>
        </w:tc>
      </w:tr>
      <w:tr w:rsidR="00AE6271" w14:paraId="302CE8D5" w14:textId="77777777">
        <w:trPr>
          <w:jc w:val="center"/>
        </w:trPr>
        <w:tc>
          <w:tcPr>
            <w:tcW w:w="3600" w:type="dxa"/>
          </w:tcPr>
          <w:p w14:paraId="32860FE2" w14:textId="77777777" w:rsidR="00AE6271" w:rsidRDefault="00000000">
            <w:pPr>
              <w:spacing w:before="20" w:after="20"/>
            </w:pPr>
            <w:r>
              <w:rPr>
                <w:color w:val="000000"/>
                <w:sz w:val="20"/>
              </w:rPr>
              <w:t>FedAvg orchestrator and partitioning</w:t>
            </w:r>
          </w:p>
        </w:tc>
        <w:tc>
          <w:tcPr>
            <w:tcW w:w="1656" w:type="dxa"/>
          </w:tcPr>
          <w:p w14:paraId="5C1C18A8" w14:textId="77777777" w:rsidR="00AE6271" w:rsidRDefault="00000000">
            <w:pPr>
              <w:spacing w:before="20" w:after="20"/>
            </w:pPr>
            <w:r>
              <w:rPr>
                <w:color w:val="000000"/>
                <w:sz w:val="20"/>
              </w:rPr>
              <w:t>Jul - Aug 2026</w:t>
            </w:r>
          </w:p>
        </w:tc>
        <w:tc>
          <w:tcPr>
            <w:tcW w:w="2664" w:type="dxa"/>
          </w:tcPr>
          <w:p w14:paraId="3CEAD0C7" w14:textId="77777777" w:rsidR="00AE6271" w:rsidRDefault="00000000">
            <w:pPr>
              <w:spacing w:before="20" w:after="20"/>
            </w:pPr>
            <w:r>
              <w:rPr>
                <w:color w:val="000000"/>
                <w:sz w:val="20"/>
              </w:rPr>
              <w:t>Non-IID client simulation</w:t>
            </w:r>
          </w:p>
        </w:tc>
        <w:tc>
          <w:tcPr>
            <w:tcW w:w="1224" w:type="dxa"/>
          </w:tcPr>
          <w:p w14:paraId="175843C7" w14:textId="77777777" w:rsidR="00AE6271" w:rsidRDefault="00000000">
            <w:pPr>
              <w:spacing w:before="20" w:after="20"/>
            </w:pPr>
            <w:r>
              <w:rPr>
                <w:color w:val="000000"/>
                <w:sz w:val="20"/>
              </w:rPr>
              <w:t>Complete</w:t>
            </w:r>
          </w:p>
        </w:tc>
      </w:tr>
      <w:tr w:rsidR="00AE6271" w14:paraId="043B1753" w14:textId="77777777">
        <w:trPr>
          <w:jc w:val="center"/>
        </w:trPr>
        <w:tc>
          <w:tcPr>
            <w:tcW w:w="3600" w:type="dxa"/>
          </w:tcPr>
          <w:p w14:paraId="45ED0E6B" w14:textId="77777777" w:rsidR="00AE6271" w:rsidRDefault="00000000">
            <w:pPr>
              <w:spacing w:before="20" w:after="20"/>
            </w:pPr>
            <w:r>
              <w:rPr>
                <w:color w:val="000000"/>
                <w:sz w:val="20"/>
              </w:rPr>
              <w:t>Baseline suite and metric layer</w:t>
            </w:r>
          </w:p>
        </w:tc>
        <w:tc>
          <w:tcPr>
            <w:tcW w:w="1656" w:type="dxa"/>
          </w:tcPr>
          <w:p w14:paraId="324EECF3" w14:textId="77777777" w:rsidR="00AE6271" w:rsidRDefault="00000000">
            <w:pPr>
              <w:spacing w:before="20" w:after="20"/>
            </w:pPr>
            <w:r>
              <w:rPr>
                <w:color w:val="000000"/>
                <w:sz w:val="20"/>
              </w:rPr>
              <w:t>Aug 2026</w:t>
            </w:r>
          </w:p>
        </w:tc>
        <w:tc>
          <w:tcPr>
            <w:tcW w:w="2664" w:type="dxa"/>
          </w:tcPr>
          <w:p w14:paraId="18E4E419" w14:textId="77777777" w:rsidR="00AE6271" w:rsidRDefault="00000000">
            <w:pPr>
              <w:spacing w:before="20" w:after="20"/>
            </w:pPr>
            <w:r>
              <w:rPr>
                <w:color w:val="000000"/>
                <w:sz w:val="20"/>
              </w:rPr>
              <w:t>12 models, one-shot test</w:t>
            </w:r>
          </w:p>
        </w:tc>
        <w:tc>
          <w:tcPr>
            <w:tcW w:w="1224" w:type="dxa"/>
          </w:tcPr>
          <w:p w14:paraId="200F40F1" w14:textId="77777777" w:rsidR="00AE6271" w:rsidRDefault="00000000">
            <w:pPr>
              <w:spacing w:before="20" w:after="20"/>
            </w:pPr>
            <w:r>
              <w:rPr>
                <w:color w:val="000000"/>
                <w:sz w:val="20"/>
              </w:rPr>
              <w:t>Complete</w:t>
            </w:r>
          </w:p>
        </w:tc>
      </w:tr>
      <w:tr w:rsidR="00AE6271" w14:paraId="43DBD0A1" w14:textId="77777777">
        <w:trPr>
          <w:jc w:val="center"/>
        </w:trPr>
        <w:tc>
          <w:tcPr>
            <w:tcW w:w="3600" w:type="dxa"/>
          </w:tcPr>
          <w:p w14:paraId="69FA8059" w14:textId="77777777" w:rsidR="00AE6271" w:rsidRDefault="00000000">
            <w:pPr>
              <w:spacing w:before="20" w:after="20"/>
            </w:pPr>
            <w:r>
              <w:rPr>
                <w:color w:val="000000"/>
                <w:sz w:val="20"/>
              </w:rPr>
              <w:t>Statistical rigour, ablation and XAI</w:t>
            </w:r>
          </w:p>
        </w:tc>
        <w:tc>
          <w:tcPr>
            <w:tcW w:w="1656" w:type="dxa"/>
          </w:tcPr>
          <w:p w14:paraId="4A1AD52F" w14:textId="5C363E4C" w:rsidR="00AE6271" w:rsidRDefault="00000000">
            <w:pPr>
              <w:spacing w:before="20" w:after="20"/>
            </w:pPr>
            <w:r>
              <w:rPr>
                <w:color w:val="000000"/>
                <w:sz w:val="20"/>
              </w:rPr>
              <w:t xml:space="preserve">Aug </w:t>
            </w:r>
            <w:r w:rsidR="001C6F1D">
              <w:rPr>
                <w:color w:val="000000"/>
                <w:sz w:val="20"/>
              </w:rPr>
              <w:t>2026</w:t>
            </w:r>
          </w:p>
        </w:tc>
        <w:tc>
          <w:tcPr>
            <w:tcW w:w="2664" w:type="dxa"/>
          </w:tcPr>
          <w:p w14:paraId="027159C6" w14:textId="77777777" w:rsidR="00AE6271" w:rsidRDefault="00000000">
            <w:pPr>
              <w:spacing w:before="20" w:after="20"/>
            </w:pPr>
            <w:r>
              <w:rPr>
                <w:color w:val="000000"/>
                <w:sz w:val="20"/>
              </w:rPr>
              <w:t>CIs, 8 ablations, 4 analyses</w:t>
            </w:r>
          </w:p>
        </w:tc>
        <w:tc>
          <w:tcPr>
            <w:tcW w:w="1224" w:type="dxa"/>
          </w:tcPr>
          <w:p w14:paraId="518DB168" w14:textId="77777777" w:rsidR="00AE6271" w:rsidRDefault="00000000">
            <w:pPr>
              <w:spacing w:before="20" w:after="20"/>
            </w:pPr>
            <w:r>
              <w:rPr>
                <w:color w:val="000000"/>
                <w:sz w:val="20"/>
              </w:rPr>
              <w:t>Complete</w:t>
            </w:r>
          </w:p>
        </w:tc>
      </w:tr>
      <w:tr w:rsidR="00AE6271" w14:paraId="16EA6695" w14:textId="77777777">
        <w:trPr>
          <w:jc w:val="center"/>
        </w:trPr>
        <w:tc>
          <w:tcPr>
            <w:tcW w:w="3600" w:type="dxa"/>
          </w:tcPr>
          <w:p w14:paraId="62DF85E8" w14:textId="77777777" w:rsidR="00AE6271" w:rsidRDefault="00000000">
            <w:pPr>
              <w:spacing w:before="20" w:after="20"/>
            </w:pPr>
            <w:r>
              <w:rPr>
                <w:color w:val="000000"/>
                <w:sz w:val="20"/>
              </w:rPr>
              <w:t>Real T1w MRI integration</w:t>
            </w:r>
          </w:p>
        </w:tc>
        <w:tc>
          <w:tcPr>
            <w:tcW w:w="1656" w:type="dxa"/>
          </w:tcPr>
          <w:p w14:paraId="3420F1D2" w14:textId="793C268E" w:rsidR="00AE6271" w:rsidRDefault="001C6F1D">
            <w:pPr>
              <w:spacing w:before="20" w:after="20"/>
            </w:pPr>
            <w:r>
              <w:rPr>
                <w:color w:val="000000"/>
                <w:sz w:val="20"/>
              </w:rPr>
              <w:t>Aug 2026</w:t>
            </w:r>
          </w:p>
        </w:tc>
        <w:tc>
          <w:tcPr>
            <w:tcW w:w="2664" w:type="dxa"/>
          </w:tcPr>
          <w:p w14:paraId="6EE9C546" w14:textId="77777777" w:rsidR="00AE6271" w:rsidRDefault="00000000">
            <w:pPr>
              <w:spacing w:before="20" w:after="20"/>
            </w:pPr>
            <w:r>
              <w:rPr>
                <w:color w:val="000000"/>
                <w:sz w:val="20"/>
              </w:rPr>
              <w:t>Schaefer-100 real features</w:t>
            </w:r>
          </w:p>
        </w:tc>
        <w:tc>
          <w:tcPr>
            <w:tcW w:w="1224" w:type="dxa"/>
          </w:tcPr>
          <w:p w14:paraId="19421348" w14:textId="13DEC015" w:rsidR="00AE6271" w:rsidRDefault="00C46E12">
            <w:pPr>
              <w:spacing w:before="20" w:after="20"/>
            </w:pPr>
            <w:r>
              <w:rPr>
                <w:color w:val="000000"/>
                <w:sz w:val="20"/>
              </w:rPr>
              <w:t>Complete</w:t>
            </w:r>
          </w:p>
        </w:tc>
      </w:tr>
      <w:tr w:rsidR="00AE6271" w14:paraId="18C0E28D" w14:textId="77777777">
        <w:trPr>
          <w:jc w:val="center"/>
        </w:trPr>
        <w:tc>
          <w:tcPr>
            <w:tcW w:w="3600" w:type="dxa"/>
          </w:tcPr>
          <w:p w14:paraId="396E2929" w14:textId="77777777" w:rsidR="00AE6271" w:rsidRDefault="00000000">
            <w:pPr>
              <w:spacing w:before="20" w:after="20"/>
            </w:pPr>
            <w:r>
              <w:rPr>
                <w:color w:val="000000"/>
                <w:sz w:val="20"/>
              </w:rPr>
              <w:t>Hyperparameter tuning (validation only)</w:t>
            </w:r>
          </w:p>
        </w:tc>
        <w:tc>
          <w:tcPr>
            <w:tcW w:w="1656" w:type="dxa"/>
          </w:tcPr>
          <w:p w14:paraId="522DEB3A" w14:textId="7125C2A6" w:rsidR="00AE6271" w:rsidRDefault="001C6F1D">
            <w:pPr>
              <w:spacing w:before="20" w:after="20"/>
            </w:pPr>
            <w:r>
              <w:rPr>
                <w:color w:val="000000"/>
                <w:sz w:val="20"/>
              </w:rPr>
              <w:t>Aug 2026</w:t>
            </w:r>
          </w:p>
        </w:tc>
        <w:tc>
          <w:tcPr>
            <w:tcW w:w="2664" w:type="dxa"/>
          </w:tcPr>
          <w:p w14:paraId="46A5E809" w14:textId="77777777" w:rsidR="00AE6271" w:rsidRDefault="00000000">
            <w:pPr>
              <w:spacing w:before="20" w:after="20"/>
            </w:pPr>
            <w:r>
              <w:rPr>
                <w:color w:val="000000"/>
                <w:sz w:val="20"/>
              </w:rPr>
              <w:t>Tuned configuration</w:t>
            </w:r>
          </w:p>
        </w:tc>
        <w:tc>
          <w:tcPr>
            <w:tcW w:w="1224" w:type="dxa"/>
          </w:tcPr>
          <w:p w14:paraId="65C3848C" w14:textId="702723BC" w:rsidR="00AE6271" w:rsidRDefault="00C46E12">
            <w:pPr>
              <w:spacing w:before="20" w:after="20"/>
            </w:pPr>
            <w:r>
              <w:rPr>
                <w:color w:val="000000"/>
                <w:sz w:val="20"/>
              </w:rPr>
              <w:t>Complete</w:t>
            </w:r>
          </w:p>
        </w:tc>
      </w:tr>
      <w:tr w:rsidR="00AE6271" w14:paraId="49B64150" w14:textId="77777777">
        <w:trPr>
          <w:jc w:val="center"/>
        </w:trPr>
        <w:tc>
          <w:tcPr>
            <w:tcW w:w="3600" w:type="dxa"/>
          </w:tcPr>
          <w:p w14:paraId="3AC00015" w14:textId="77777777" w:rsidR="00AE6271" w:rsidRDefault="00000000">
            <w:pPr>
              <w:spacing w:before="20" w:after="20"/>
            </w:pPr>
            <w:r>
              <w:rPr>
                <w:color w:val="000000"/>
                <w:sz w:val="20"/>
              </w:rPr>
              <w:t>Real-site federation and DP-SGD</w:t>
            </w:r>
          </w:p>
        </w:tc>
        <w:tc>
          <w:tcPr>
            <w:tcW w:w="1656" w:type="dxa"/>
          </w:tcPr>
          <w:p w14:paraId="72CFFCB1" w14:textId="127C248C" w:rsidR="00AE6271" w:rsidRDefault="001C6F1D">
            <w:pPr>
              <w:spacing w:before="20" w:after="20"/>
            </w:pPr>
            <w:r>
              <w:rPr>
                <w:color w:val="000000"/>
                <w:sz w:val="20"/>
              </w:rPr>
              <w:t>Aug-Sept 2026</w:t>
            </w:r>
          </w:p>
        </w:tc>
        <w:tc>
          <w:tcPr>
            <w:tcW w:w="2664" w:type="dxa"/>
          </w:tcPr>
          <w:p w14:paraId="301E150D" w14:textId="77777777" w:rsidR="00AE6271" w:rsidRDefault="00000000">
            <w:pPr>
              <w:spacing w:before="20" w:after="20"/>
            </w:pPr>
            <w:r>
              <w:rPr>
                <w:color w:val="000000"/>
                <w:sz w:val="20"/>
              </w:rPr>
              <w:t>Formal privacy guarantee</w:t>
            </w:r>
          </w:p>
        </w:tc>
        <w:tc>
          <w:tcPr>
            <w:tcW w:w="1224" w:type="dxa"/>
          </w:tcPr>
          <w:p w14:paraId="0D1A6C37" w14:textId="4C592359" w:rsidR="00AE6271" w:rsidRDefault="00C46E12">
            <w:pPr>
              <w:spacing w:before="20" w:after="20"/>
            </w:pPr>
            <w:r>
              <w:rPr>
                <w:color w:val="000000"/>
                <w:sz w:val="20"/>
              </w:rPr>
              <w:t>Complete</w:t>
            </w:r>
          </w:p>
        </w:tc>
      </w:tr>
      <w:tr w:rsidR="00AE6271" w14:paraId="4D540C75" w14:textId="77777777">
        <w:trPr>
          <w:jc w:val="center"/>
        </w:trPr>
        <w:tc>
          <w:tcPr>
            <w:tcW w:w="3600" w:type="dxa"/>
          </w:tcPr>
          <w:p w14:paraId="6FF470E7" w14:textId="77777777" w:rsidR="00AE6271" w:rsidRDefault="00000000">
            <w:pPr>
              <w:spacing w:before="20" w:after="20"/>
            </w:pPr>
            <w:r>
              <w:rPr>
                <w:color w:val="000000"/>
                <w:sz w:val="20"/>
              </w:rPr>
              <w:t>Longitudinal extension and final evaluation</w:t>
            </w:r>
          </w:p>
        </w:tc>
        <w:tc>
          <w:tcPr>
            <w:tcW w:w="1656" w:type="dxa"/>
          </w:tcPr>
          <w:p w14:paraId="0F9C3BC4" w14:textId="4B652820" w:rsidR="00AE6271" w:rsidRDefault="00DF5F76">
            <w:pPr>
              <w:spacing w:before="20" w:after="20"/>
            </w:pPr>
            <w:r>
              <w:rPr>
                <w:color w:val="000000"/>
                <w:sz w:val="20"/>
              </w:rPr>
              <w:t>Sept</w:t>
            </w:r>
            <w:r w:rsidR="00000000">
              <w:rPr>
                <w:color w:val="000000"/>
                <w:sz w:val="20"/>
              </w:rPr>
              <w:t xml:space="preserve"> 2026</w:t>
            </w:r>
          </w:p>
        </w:tc>
        <w:tc>
          <w:tcPr>
            <w:tcW w:w="2664" w:type="dxa"/>
          </w:tcPr>
          <w:p w14:paraId="77AD8CC4" w14:textId="77777777" w:rsidR="00AE6271" w:rsidRDefault="00000000">
            <w:pPr>
              <w:spacing w:before="20" w:after="20"/>
            </w:pPr>
            <w:r>
              <w:rPr>
                <w:color w:val="000000"/>
                <w:sz w:val="20"/>
              </w:rPr>
              <w:t>Trajectory model</w:t>
            </w:r>
          </w:p>
        </w:tc>
        <w:tc>
          <w:tcPr>
            <w:tcW w:w="1224" w:type="dxa"/>
          </w:tcPr>
          <w:p w14:paraId="57FE2EBE" w14:textId="77777777" w:rsidR="00AE6271" w:rsidRDefault="00000000">
            <w:pPr>
              <w:spacing w:before="20" w:after="20"/>
            </w:pPr>
            <w:r>
              <w:rPr>
                <w:color w:val="000000"/>
                <w:sz w:val="20"/>
              </w:rPr>
              <w:t>Planned</w:t>
            </w:r>
          </w:p>
        </w:tc>
      </w:tr>
    </w:tbl>
    <w:p w14:paraId="2C6ED1C0" w14:textId="77777777" w:rsidR="00AE6271" w:rsidRDefault="00000000">
      <w:pPr>
        <w:spacing w:before="40" w:after="240"/>
        <w:jc w:val="center"/>
      </w:pPr>
      <w:r>
        <w:rPr>
          <w:i/>
          <w:color w:val="595959"/>
          <w:sz w:val="22"/>
        </w:rPr>
        <w:t>Table 1. Project phases, deliverables and status.</w:t>
      </w:r>
    </w:p>
    <w:p w14:paraId="32718625" w14:textId="77777777" w:rsidR="00AE6271" w:rsidRDefault="00000000">
      <w:r>
        <w:br w:type="page"/>
      </w:r>
    </w:p>
    <w:p w14:paraId="483419A6" w14:textId="77777777" w:rsidR="00AE6271" w:rsidRDefault="00000000">
      <w:pPr>
        <w:keepNext/>
        <w:spacing w:after="160" w:line="360" w:lineRule="auto"/>
      </w:pPr>
      <w:r>
        <w:rPr>
          <w:b/>
          <w:color w:val="000000"/>
          <w:sz w:val="28"/>
        </w:rPr>
        <w:lastRenderedPageBreak/>
        <w:t>3. TECHNICAL SPECIFICATION</w:t>
      </w:r>
    </w:p>
    <w:p w14:paraId="11C8D7D7" w14:textId="77777777" w:rsidR="00AE6271" w:rsidRDefault="00000000">
      <w:pPr>
        <w:keepNext/>
        <w:spacing w:before="280" w:after="160" w:line="360" w:lineRule="auto"/>
      </w:pPr>
      <w:r>
        <w:rPr>
          <w:b/>
          <w:color w:val="000000"/>
          <w:sz w:val="26"/>
        </w:rPr>
        <w:t>3.1 Requirements</w:t>
      </w:r>
    </w:p>
    <w:p w14:paraId="610D011C" w14:textId="77777777" w:rsidR="00AE6271" w:rsidRDefault="00000000">
      <w:pPr>
        <w:keepNext/>
        <w:spacing w:before="280" w:after="160" w:line="360" w:lineRule="auto"/>
      </w:pPr>
      <w:r>
        <w:rPr>
          <w:b/>
          <w:i/>
          <w:color w:val="000000"/>
        </w:rPr>
        <w:t>3.1.1 Functional</w:t>
      </w:r>
    </w:p>
    <w:p w14:paraId="4AF07D3E" w14:textId="77777777" w:rsidR="00AE6271" w:rsidRDefault="00000000">
      <w:pPr>
        <w:spacing w:after="120" w:line="276" w:lineRule="auto"/>
        <w:jc w:val="both"/>
      </w:pPr>
      <w:r>
        <w:rPr>
          <w:color w:val="000000"/>
        </w:rPr>
        <w:t>The following sixteen functional requirements are implemented in the current system; the module realising each is named in parentheses.</w:t>
      </w:r>
    </w:p>
    <w:p w14:paraId="070186D9" w14:textId="77777777" w:rsidR="00AE6271" w:rsidRDefault="00000000">
      <w:pPr>
        <w:spacing w:after="80" w:line="276" w:lineRule="auto"/>
        <w:ind w:left="792" w:hanging="360"/>
      </w:pPr>
      <w:r>
        <w:rPr>
          <w:color w:val="000000"/>
        </w:rPr>
        <w:t>•</w:t>
      </w:r>
      <w:r>
        <w:rPr>
          <w:color w:val="000000"/>
        </w:rPr>
        <w:tab/>
      </w:r>
      <w:r>
        <w:rPr>
          <w:b/>
          <w:color w:val="000000"/>
        </w:rPr>
        <w:t>Multimodal Data Ingestion:</w:t>
      </w:r>
      <w:r>
        <w:rPr>
          <w:color w:val="000000"/>
        </w:rPr>
        <w:t xml:space="preserve"> The system shall load PPMI clinical, DaTScan, genetic and MRI records and align them per subject on the PATNO identifier (M2 loaders, M3 builder).</w:t>
      </w:r>
    </w:p>
    <w:p w14:paraId="609EE5B5" w14:textId="77777777" w:rsidR="00AE6271" w:rsidRDefault="00000000">
      <w:pPr>
        <w:spacing w:after="80" w:line="276" w:lineRule="auto"/>
        <w:ind w:left="792" w:hanging="360"/>
      </w:pPr>
      <w:r>
        <w:rPr>
          <w:color w:val="000000"/>
        </w:rPr>
        <w:t>•</w:t>
      </w:r>
      <w:r>
        <w:rPr>
          <w:color w:val="000000"/>
        </w:rPr>
        <w:tab/>
      </w:r>
      <w:r>
        <w:rPr>
          <w:b/>
          <w:color w:val="000000"/>
        </w:rPr>
        <w:t>Progression Target Construction:</w:t>
      </w:r>
      <w:r>
        <w:rPr>
          <w:color w:val="000000"/>
        </w:rPr>
        <w:t xml:space="preserve"> The system shall derive the regression target as the change in MDS-UPDRS Part III between the baseline and year-two visits using the official NP3TOT total column, and shall drop - never impute - subjects lacking a genuine label.</w:t>
      </w:r>
    </w:p>
    <w:p w14:paraId="4ADF3768" w14:textId="77777777" w:rsidR="00AE6271" w:rsidRDefault="00000000">
      <w:pPr>
        <w:spacing w:after="80" w:line="276" w:lineRule="auto"/>
        <w:ind w:left="792" w:hanging="360"/>
      </w:pPr>
      <w:r>
        <w:rPr>
          <w:color w:val="000000"/>
        </w:rPr>
        <w:t>•</w:t>
      </w:r>
      <w:r>
        <w:rPr>
          <w:color w:val="000000"/>
        </w:rPr>
        <w:tab/>
      </w:r>
      <w:r>
        <w:rPr>
          <w:b/>
          <w:color w:val="000000"/>
        </w:rPr>
        <w:t>Leak-Free Partitioning:</w:t>
      </w:r>
      <w:r>
        <w:rPr>
          <w:color w:val="000000"/>
        </w:rPr>
        <w:t xml:space="preserve"> The system shall split subjects 70/15/15 into training, validation and test partitions, stratified on diagnosis, with every subject appearing in exactly one partition.</w:t>
      </w:r>
    </w:p>
    <w:p w14:paraId="705D64C6" w14:textId="77777777" w:rsidR="00AE6271" w:rsidRDefault="00000000">
      <w:pPr>
        <w:spacing w:after="80" w:line="276" w:lineRule="auto"/>
        <w:ind w:left="792" w:hanging="360"/>
      </w:pPr>
      <w:r>
        <w:rPr>
          <w:color w:val="000000"/>
        </w:rPr>
        <w:t>•</w:t>
      </w:r>
      <w:r>
        <w:rPr>
          <w:color w:val="000000"/>
        </w:rPr>
        <w:tab/>
      </w:r>
      <w:r>
        <w:rPr>
          <w:b/>
          <w:color w:val="000000"/>
        </w:rPr>
        <w:t>Train-Only Preprocessing:</w:t>
      </w:r>
      <w:r>
        <w:rPr>
          <w:color w:val="000000"/>
        </w:rPr>
        <w:t xml:space="preserve"> The system shall fit all imputation and scaling statistics on the training subjects alone and apply them unchanged to the validation and test partitions.</w:t>
      </w:r>
    </w:p>
    <w:p w14:paraId="49EFF185" w14:textId="77777777" w:rsidR="00AE6271" w:rsidRDefault="00000000">
      <w:pPr>
        <w:spacing w:after="80" w:line="276" w:lineRule="auto"/>
        <w:ind w:left="792" w:hanging="360"/>
      </w:pPr>
      <w:r>
        <w:rPr>
          <w:color w:val="000000"/>
        </w:rPr>
        <w:t>•</w:t>
      </w:r>
      <w:r>
        <w:rPr>
          <w:color w:val="000000"/>
        </w:rPr>
        <w:tab/>
      </w:r>
      <w:r>
        <w:rPr>
          <w:b/>
          <w:color w:val="000000"/>
        </w:rPr>
        <w:t>Missing-Modality Handling:</w:t>
      </w:r>
      <w:r>
        <w:rPr>
          <w:color w:val="000000"/>
        </w:rPr>
        <w:t xml:space="preserve"> The system shall represent an absent modality by a learned mask token rather than an imputed value, and shall preserve the all-zero encoding of a missing modality through scaling.</w:t>
      </w:r>
    </w:p>
    <w:p w14:paraId="1511633F" w14:textId="77777777" w:rsidR="00AE6271" w:rsidRDefault="00000000">
      <w:pPr>
        <w:spacing w:after="80" w:line="276" w:lineRule="auto"/>
        <w:ind w:left="792" w:hanging="360"/>
      </w:pPr>
      <w:r>
        <w:rPr>
          <w:color w:val="000000"/>
        </w:rPr>
        <w:t>•</w:t>
      </w:r>
      <w:r>
        <w:rPr>
          <w:color w:val="000000"/>
        </w:rPr>
        <w:tab/>
      </w:r>
      <w:r>
        <w:rPr>
          <w:b/>
          <w:color w:val="000000"/>
        </w:rPr>
        <w:t>Phenotype-Guided Attention:</w:t>
      </w:r>
      <w:r>
        <w:rPr>
          <w:color w:val="000000"/>
        </w:rPr>
        <w:t xml:space="preserve"> The system shall allow clinical embeddings to query imaging and genetic embeddings through multi-head cross-attention, and shall expose the resulting attention weights for explanation.</w:t>
      </w:r>
    </w:p>
    <w:p w14:paraId="571918E4" w14:textId="77777777" w:rsidR="00AE6271" w:rsidRDefault="00000000">
      <w:pPr>
        <w:spacing w:after="80" w:line="276" w:lineRule="auto"/>
        <w:ind w:left="792" w:hanging="360"/>
      </w:pPr>
      <w:r>
        <w:rPr>
          <w:color w:val="000000"/>
        </w:rPr>
        <w:t>•</w:t>
      </w:r>
      <w:r>
        <w:rPr>
          <w:color w:val="000000"/>
        </w:rPr>
        <w:tab/>
      </w:r>
      <w:r>
        <w:rPr>
          <w:b/>
          <w:color w:val="000000"/>
        </w:rPr>
        <w:t>Shared-Private Decomposition:</w:t>
      </w:r>
      <w:r>
        <w:rPr>
          <w:color w:val="000000"/>
        </w:rPr>
        <w:t xml:space="preserve"> The system shall encode each auxiliary modality into shared and private latent vectors penalised towards statistical independence by an RBF-kernel HSIC criterion.</w:t>
      </w:r>
    </w:p>
    <w:p w14:paraId="78DCB4B9" w14:textId="77777777" w:rsidR="00AE6271" w:rsidRDefault="00000000">
      <w:pPr>
        <w:spacing w:after="80" w:line="276" w:lineRule="auto"/>
        <w:ind w:left="792" w:hanging="360"/>
      </w:pPr>
      <w:r>
        <w:rPr>
          <w:color w:val="000000"/>
        </w:rPr>
        <w:t>•</w:t>
      </w:r>
      <w:r>
        <w:rPr>
          <w:color w:val="000000"/>
        </w:rPr>
        <w:tab/>
      </w:r>
      <w:r>
        <w:rPr>
          <w:b/>
          <w:color w:val="000000"/>
        </w:rPr>
        <w:t>Federated Training:</w:t>
      </w:r>
      <w:r>
        <w:rPr>
          <w:color w:val="000000"/>
        </w:rPr>
        <w:t xml:space="preserve"> The system shall train by sample-weighted federated averaging across N simulated sites under IID, Dirichlet non-IID or real-site partitioning, with no raw data exchanged between clients.</w:t>
      </w:r>
    </w:p>
    <w:p w14:paraId="460E0B80" w14:textId="77777777" w:rsidR="00AE6271" w:rsidRDefault="00000000">
      <w:pPr>
        <w:spacing w:after="80" w:line="276" w:lineRule="auto"/>
        <w:ind w:left="792" w:hanging="360"/>
      </w:pPr>
      <w:r>
        <w:rPr>
          <w:color w:val="000000"/>
        </w:rPr>
        <w:t>•</w:t>
      </w:r>
      <w:r>
        <w:rPr>
          <w:color w:val="000000"/>
        </w:rPr>
        <w:tab/>
      </w:r>
      <w:r>
        <w:rPr>
          <w:b/>
          <w:color w:val="000000"/>
        </w:rPr>
        <w:t>Validated Early Stopping:</w:t>
      </w:r>
      <w:r>
        <w:rPr>
          <w:color w:val="000000"/>
        </w:rPr>
        <w:t xml:space="preserve"> The system shall monitor validation CCC each round, stop after a configured patience, restore the best round's weights, and score the test set exactly once thereafter.</w:t>
      </w:r>
    </w:p>
    <w:p w14:paraId="23DC15BA" w14:textId="77777777" w:rsidR="00AE6271" w:rsidRDefault="00000000">
      <w:pPr>
        <w:spacing w:after="80" w:line="276" w:lineRule="auto"/>
        <w:ind w:left="792" w:hanging="360"/>
      </w:pPr>
      <w:r>
        <w:rPr>
          <w:color w:val="000000"/>
        </w:rPr>
        <w:t>•</w:t>
      </w:r>
      <w:r>
        <w:rPr>
          <w:color w:val="000000"/>
        </w:rPr>
        <w:tab/>
      </w:r>
      <w:r>
        <w:rPr>
          <w:b/>
          <w:color w:val="000000"/>
        </w:rPr>
        <w:t>Multitask Prediction:</w:t>
      </w:r>
      <w:r>
        <w:rPr>
          <w:color w:val="000000"/>
        </w:rPr>
        <w:t xml:space="preserve"> The system shall predict progression and diagnosis jointly under a single weighted multitask loss.</w:t>
      </w:r>
    </w:p>
    <w:p w14:paraId="4D3A4D72" w14:textId="77777777" w:rsidR="00AE6271" w:rsidRDefault="00000000">
      <w:pPr>
        <w:spacing w:after="80" w:line="276" w:lineRule="auto"/>
        <w:ind w:left="792" w:hanging="360"/>
      </w:pPr>
      <w:r>
        <w:rPr>
          <w:color w:val="000000"/>
        </w:rPr>
        <w:t>•</w:t>
      </w:r>
      <w:r>
        <w:rPr>
          <w:color w:val="000000"/>
        </w:rPr>
        <w:tab/>
      </w:r>
      <w:r>
        <w:rPr>
          <w:b/>
          <w:color w:val="000000"/>
        </w:rPr>
        <w:t>Baseline Benchmarking:</w:t>
      </w:r>
      <w:r>
        <w:rPr>
          <w:color w:val="000000"/>
        </w:rPr>
        <w:t xml:space="preserve"> The system shall evaluate twelve classical models under per-fold preprocessing pipelines on the identical test subjects.</w:t>
      </w:r>
    </w:p>
    <w:p w14:paraId="50B9F630" w14:textId="77777777" w:rsidR="00AE6271" w:rsidRDefault="00000000">
      <w:pPr>
        <w:spacing w:after="80" w:line="276" w:lineRule="auto"/>
        <w:ind w:left="792" w:hanging="360"/>
      </w:pPr>
      <w:r>
        <w:rPr>
          <w:color w:val="000000"/>
        </w:rPr>
        <w:lastRenderedPageBreak/>
        <w:t>•</w:t>
      </w:r>
      <w:r>
        <w:rPr>
          <w:color w:val="000000"/>
        </w:rPr>
        <w:tab/>
      </w:r>
      <w:r>
        <w:rPr>
          <w:b/>
          <w:color w:val="000000"/>
        </w:rPr>
        <w:t>Statistical Reporting:</w:t>
      </w:r>
      <w:r>
        <w:rPr>
          <w:color w:val="000000"/>
        </w:rPr>
        <w:t xml:space="preserve"> The system shall report bootstrap 95 per cent confidence intervals, a mean and standard deviation across independent training seeds, and a paired significance test against the strongest baseline.</w:t>
      </w:r>
    </w:p>
    <w:p w14:paraId="09267F3C" w14:textId="77777777" w:rsidR="00AE6271" w:rsidRDefault="00000000">
      <w:pPr>
        <w:spacing w:after="80" w:line="276" w:lineRule="auto"/>
        <w:ind w:left="792" w:hanging="360"/>
      </w:pPr>
      <w:r>
        <w:rPr>
          <w:color w:val="000000"/>
        </w:rPr>
        <w:t>•</w:t>
      </w:r>
      <w:r>
        <w:rPr>
          <w:color w:val="000000"/>
        </w:rPr>
        <w:tab/>
      </w:r>
      <w:r>
        <w:rPr>
          <w:b/>
          <w:color w:val="000000"/>
        </w:rPr>
        <w:t>Ablation Suite:</w:t>
      </w:r>
      <w:r>
        <w:rPr>
          <w:color w:val="000000"/>
        </w:rPr>
        <w:t xml:space="preserve"> The system shall retrain an ablation variant for every modality and every architectural component under the same protocol.</w:t>
      </w:r>
    </w:p>
    <w:p w14:paraId="24EBD493" w14:textId="77777777" w:rsidR="00AE6271" w:rsidRDefault="00000000">
      <w:pPr>
        <w:spacing w:after="80" w:line="276" w:lineRule="auto"/>
        <w:ind w:left="792" w:hanging="360"/>
      </w:pPr>
      <w:r>
        <w:rPr>
          <w:color w:val="000000"/>
        </w:rPr>
        <w:t>•</w:t>
      </w:r>
      <w:r>
        <w:rPr>
          <w:color w:val="000000"/>
        </w:rPr>
        <w:tab/>
      </w:r>
      <w:r>
        <w:rPr>
          <w:b/>
          <w:color w:val="000000"/>
        </w:rPr>
        <w:t>Explainability Suite:</w:t>
      </w:r>
      <w:r>
        <w:rPr>
          <w:color w:val="000000"/>
        </w:rPr>
        <w:t xml:space="preserve"> The system shall produce attention maps, integrated-gradients attributions, a missing-modality stress test and counterfactual gene analysis.</w:t>
      </w:r>
    </w:p>
    <w:p w14:paraId="0646D297" w14:textId="77777777" w:rsidR="00AE6271" w:rsidRDefault="00000000">
      <w:pPr>
        <w:spacing w:after="80" w:line="276" w:lineRule="auto"/>
        <w:ind w:left="792" w:hanging="360"/>
      </w:pPr>
      <w:r>
        <w:rPr>
          <w:color w:val="000000"/>
        </w:rPr>
        <w:t>•</w:t>
      </w:r>
      <w:r>
        <w:rPr>
          <w:color w:val="000000"/>
        </w:rPr>
        <w:tab/>
      </w:r>
      <w:r>
        <w:rPr>
          <w:b/>
          <w:color w:val="000000"/>
        </w:rPr>
        <w:t>Automated Reporting:</w:t>
      </w:r>
      <w:r>
        <w:rPr>
          <w:color w:val="000000"/>
        </w:rPr>
        <w:t xml:space="preserve"> Every run shall emit a metrics JSON file, a Markdown results report and the complete figure suite, regenerable without retraining.</w:t>
      </w:r>
    </w:p>
    <w:p w14:paraId="66098D65" w14:textId="77777777" w:rsidR="00AE6271" w:rsidRDefault="00000000">
      <w:pPr>
        <w:spacing w:after="80" w:line="276" w:lineRule="auto"/>
        <w:ind w:left="792" w:hanging="360"/>
      </w:pPr>
      <w:r>
        <w:rPr>
          <w:color w:val="000000"/>
        </w:rPr>
        <w:t>•</w:t>
      </w:r>
      <w:r>
        <w:rPr>
          <w:color w:val="000000"/>
        </w:rPr>
        <w:tab/>
      </w:r>
      <w:r>
        <w:rPr>
          <w:b/>
          <w:color w:val="000000"/>
        </w:rPr>
        <w:t>Real MRI Integration:</w:t>
      </w:r>
      <w:r>
        <w:rPr>
          <w:color w:val="000000"/>
        </w:rPr>
        <w:t xml:space="preserve"> The system shall replace the synthetic MRI branch with real T1-weighted Schaefer-100 parcellation when NIfTI scans are present and the corresponding configuration flag is enabled.</w:t>
      </w:r>
    </w:p>
    <w:p w14:paraId="178251C8" w14:textId="77777777" w:rsidR="00AE6271" w:rsidRDefault="00000000">
      <w:pPr>
        <w:keepNext/>
        <w:spacing w:before="280" w:after="160" w:line="360" w:lineRule="auto"/>
      </w:pPr>
      <w:r>
        <w:rPr>
          <w:b/>
          <w:i/>
          <w:color w:val="000000"/>
        </w:rPr>
        <w:t>3.1.2 Non-Functional</w:t>
      </w:r>
    </w:p>
    <w:p w14:paraId="7D882352" w14:textId="77777777" w:rsidR="00AE6271" w:rsidRDefault="00000000">
      <w:pPr>
        <w:spacing w:after="80" w:line="276" w:lineRule="auto"/>
        <w:ind w:left="792" w:hanging="360"/>
      </w:pPr>
      <w:r>
        <w:rPr>
          <w:color w:val="000000"/>
        </w:rPr>
        <w:t>•</w:t>
      </w:r>
      <w:r>
        <w:rPr>
          <w:color w:val="000000"/>
        </w:rPr>
        <w:tab/>
      </w:r>
      <w:r>
        <w:rPr>
          <w:b/>
          <w:color w:val="000000"/>
        </w:rPr>
        <w:t>Privacy:</w:t>
      </w:r>
      <w:r>
        <w:rPr>
          <w:color w:val="000000"/>
        </w:rPr>
        <w:t xml:space="preserve"> No raw feature matrix crosses a client boundary at any point in training; only model weight tensors are aggregated by the orchestrator.</w:t>
      </w:r>
    </w:p>
    <w:p w14:paraId="6ABFED6F" w14:textId="77777777" w:rsidR="00AE6271" w:rsidRDefault="00000000">
      <w:pPr>
        <w:spacing w:after="80" w:line="276" w:lineRule="auto"/>
        <w:ind w:left="792" w:hanging="360"/>
      </w:pPr>
      <w:r>
        <w:rPr>
          <w:color w:val="000000"/>
        </w:rPr>
        <w:t>•</w:t>
      </w:r>
      <w:r>
        <w:rPr>
          <w:color w:val="000000"/>
        </w:rPr>
        <w:tab/>
      </w:r>
      <w:r>
        <w:rPr>
          <w:b/>
          <w:color w:val="000000"/>
        </w:rPr>
        <w:t>Reproducibility:</w:t>
      </w:r>
      <w:r>
        <w:rPr>
          <w:color w:val="000000"/>
        </w:rPr>
        <w:t xml:space="preserve"> A single seed function seeds Python, NumPy and PyTorch with deterministic cuDNN kernels; every hyperparameter is declared in config.yaml, and a snapshot of the configuration is written into each metrics file.</w:t>
      </w:r>
    </w:p>
    <w:p w14:paraId="6004A3D9" w14:textId="77777777" w:rsidR="00AE6271" w:rsidRDefault="00000000">
      <w:pPr>
        <w:spacing w:after="80" w:line="276" w:lineRule="auto"/>
        <w:ind w:left="792" w:hanging="360"/>
      </w:pPr>
      <w:r>
        <w:rPr>
          <w:color w:val="000000"/>
        </w:rPr>
        <w:t>•</w:t>
      </w:r>
      <w:r>
        <w:rPr>
          <w:color w:val="000000"/>
        </w:rPr>
        <w:tab/>
      </w:r>
      <w:r>
        <w:rPr>
          <w:b/>
          <w:color w:val="000000"/>
        </w:rPr>
        <w:t>Graceful Degradation:</w:t>
      </w:r>
      <w:r>
        <w:rPr>
          <w:color w:val="000000"/>
        </w:rPr>
        <w:t xml:space="preserve"> A missing input CSV produces a logged warning and a synthetic fallback for that modality rather than an aborted run, so development is never blocked.</w:t>
      </w:r>
    </w:p>
    <w:p w14:paraId="2D0EA495" w14:textId="77777777" w:rsidR="00AE6271" w:rsidRDefault="00000000">
      <w:pPr>
        <w:spacing w:after="80" w:line="276" w:lineRule="auto"/>
        <w:ind w:left="792" w:hanging="360"/>
      </w:pPr>
      <w:r>
        <w:rPr>
          <w:color w:val="000000"/>
        </w:rPr>
        <w:t>•</w:t>
      </w:r>
      <w:r>
        <w:rPr>
          <w:color w:val="000000"/>
        </w:rPr>
        <w:tab/>
      </w:r>
      <w:r>
        <w:rPr>
          <w:b/>
          <w:color w:val="000000"/>
        </w:rPr>
        <w:t>Performance:</w:t>
      </w:r>
      <w:r>
        <w:rPr>
          <w:color w:val="000000"/>
        </w:rPr>
        <w:t xml:space="preserve"> A complete run - twelve baselines, three training seeds, seven ablation variants and the full explainability suite - finishes in approximately eight minutes on a CPU.</w:t>
      </w:r>
    </w:p>
    <w:p w14:paraId="25CCBF6C" w14:textId="77777777" w:rsidR="00AE6271" w:rsidRDefault="00000000">
      <w:pPr>
        <w:spacing w:after="80" w:line="276" w:lineRule="auto"/>
        <w:ind w:left="792" w:hanging="360"/>
      </w:pPr>
      <w:r>
        <w:rPr>
          <w:color w:val="000000"/>
        </w:rPr>
        <w:t>•</w:t>
      </w:r>
      <w:r>
        <w:rPr>
          <w:color w:val="000000"/>
        </w:rPr>
        <w:tab/>
      </w:r>
      <w:r>
        <w:rPr>
          <w:b/>
          <w:color w:val="000000"/>
        </w:rPr>
        <w:t>Portability:</w:t>
      </w:r>
      <w:r>
        <w:rPr>
          <w:color w:val="000000"/>
        </w:rPr>
        <w:t xml:space="preserve"> The implementation is pure CPU PyTorch with pinned dependency versions, and requires no GPU or cloud infrastructure.</w:t>
      </w:r>
    </w:p>
    <w:p w14:paraId="3AD85D2A" w14:textId="77777777" w:rsidR="00AE6271" w:rsidRDefault="00000000">
      <w:pPr>
        <w:spacing w:after="80" w:line="276" w:lineRule="auto"/>
        <w:ind w:left="792" w:hanging="360"/>
      </w:pPr>
      <w:r>
        <w:rPr>
          <w:color w:val="000000"/>
        </w:rPr>
        <w:t>•</w:t>
      </w:r>
      <w:r>
        <w:rPr>
          <w:color w:val="000000"/>
        </w:rPr>
        <w:tab/>
      </w:r>
      <w:r>
        <w:rPr>
          <w:b/>
          <w:color w:val="000000"/>
        </w:rPr>
        <w:t>Maintainability:</w:t>
      </w:r>
      <w:r>
        <w:rPr>
          <w:color w:val="000000"/>
        </w:rPr>
        <w:t xml:space="preserve"> The codebase is organised into seven modules with single responsibilities, each addressable and testable in isolation.</w:t>
      </w:r>
    </w:p>
    <w:p w14:paraId="197AE050" w14:textId="77777777" w:rsidR="00AE6271" w:rsidRDefault="00000000">
      <w:pPr>
        <w:spacing w:after="80" w:line="276" w:lineRule="auto"/>
        <w:ind w:left="792" w:hanging="360"/>
      </w:pPr>
      <w:r>
        <w:rPr>
          <w:color w:val="000000"/>
        </w:rPr>
        <w:t>•</w:t>
      </w:r>
      <w:r>
        <w:rPr>
          <w:color w:val="000000"/>
        </w:rPr>
        <w:tab/>
      </w:r>
      <w:r>
        <w:rPr>
          <w:b/>
          <w:color w:val="000000"/>
        </w:rPr>
        <w:t>Compliance:</w:t>
      </w:r>
      <w:r>
        <w:rPr>
          <w:color w:val="000000"/>
        </w:rPr>
        <w:t xml:space="preserve"> Use of PPMI data is governed by the PPMI Data Use Agreement; no participant-identifying information is stored or published.</w:t>
      </w:r>
    </w:p>
    <w:p w14:paraId="19FC1E8D" w14:textId="77777777" w:rsidR="00AE6271" w:rsidRDefault="00000000">
      <w:pPr>
        <w:keepNext/>
        <w:spacing w:before="280" w:after="160" w:line="360" w:lineRule="auto"/>
      </w:pPr>
      <w:r>
        <w:rPr>
          <w:b/>
          <w:color w:val="000000"/>
          <w:sz w:val="26"/>
        </w:rPr>
        <w:t>3.2 Feasibility Study</w:t>
      </w:r>
    </w:p>
    <w:p w14:paraId="782CD79E" w14:textId="77777777" w:rsidR="00AE6271" w:rsidRDefault="00000000">
      <w:pPr>
        <w:keepNext/>
        <w:spacing w:before="280" w:after="160" w:line="360" w:lineRule="auto"/>
      </w:pPr>
      <w:r>
        <w:rPr>
          <w:b/>
          <w:i/>
          <w:color w:val="000000"/>
        </w:rPr>
        <w:t>3.2.1 Technical Feasibility</w:t>
      </w:r>
    </w:p>
    <w:p w14:paraId="6B58C4C7" w14:textId="77777777" w:rsidR="00AE6271" w:rsidRDefault="00000000">
      <w:pPr>
        <w:spacing w:after="80" w:line="276" w:lineRule="auto"/>
        <w:ind w:left="792" w:hanging="360"/>
      </w:pPr>
      <w:r>
        <w:rPr>
          <w:color w:val="000000"/>
        </w:rPr>
        <w:t>•</w:t>
      </w:r>
      <w:r>
        <w:rPr>
          <w:color w:val="000000"/>
        </w:rPr>
        <w:tab/>
      </w:r>
      <w:r>
        <w:rPr>
          <w:b/>
          <w:color w:val="000000"/>
        </w:rPr>
        <w:t>Data Availability:</w:t>
      </w:r>
      <w:r>
        <w:rPr>
          <w:color w:val="000000"/>
        </w:rPr>
        <w:t xml:space="preserve"> PPMI study-data access has been granted and the ten required CSV files are downloaded and verified. The remaining dependency, the T1-weighted image collections, is a separate download whose absence is handled by a documented fallback.</w:t>
      </w:r>
    </w:p>
    <w:p w14:paraId="4781F436" w14:textId="77777777" w:rsidR="00AE6271" w:rsidRDefault="00000000">
      <w:pPr>
        <w:spacing w:after="80" w:line="276" w:lineRule="auto"/>
        <w:ind w:left="792" w:hanging="360"/>
      </w:pPr>
      <w:r>
        <w:rPr>
          <w:color w:val="000000"/>
        </w:rPr>
        <w:lastRenderedPageBreak/>
        <w:t>•</w:t>
      </w:r>
      <w:r>
        <w:rPr>
          <w:color w:val="000000"/>
        </w:rPr>
        <w:tab/>
      </w:r>
      <w:r>
        <w:rPr>
          <w:b/>
          <w:color w:val="000000"/>
        </w:rPr>
        <w:t>Technology Maturity:</w:t>
      </w:r>
      <w:r>
        <w:rPr>
          <w:color w:val="000000"/>
        </w:rPr>
        <w:t xml:space="preserve"> The stack - PyTorch, scikit-learn, XGBoost, LightGBM, nilearn and Captum - is open source, widely used and version-pinned, so no unproven component is on the critical path.</w:t>
      </w:r>
    </w:p>
    <w:p w14:paraId="5F82A770" w14:textId="77777777" w:rsidR="00AE6271" w:rsidRDefault="00000000">
      <w:pPr>
        <w:spacing w:after="80" w:line="276" w:lineRule="auto"/>
        <w:ind w:left="792" w:hanging="360"/>
      </w:pPr>
      <w:r>
        <w:rPr>
          <w:color w:val="000000"/>
        </w:rPr>
        <w:t>•</w:t>
      </w:r>
      <w:r>
        <w:rPr>
          <w:color w:val="000000"/>
        </w:rPr>
        <w:tab/>
      </w:r>
      <w:r>
        <w:rPr>
          <w:b/>
          <w:color w:val="000000"/>
        </w:rPr>
        <w:t>Computational Requirements:</w:t>
      </w:r>
      <w:r>
        <w:rPr>
          <w:color w:val="000000"/>
        </w:rPr>
        <w:t xml:space="preserve"> The model has approximately 0.1 million parameters and trains on a tabular cohort of 3,472 subjects; the entire experiment completes in about eight minutes on a laptop CPU, so no specialised hardware is required.</w:t>
      </w:r>
    </w:p>
    <w:p w14:paraId="325E5C24" w14:textId="77777777" w:rsidR="00AE6271" w:rsidRDefault="00000000">
      <w:pPr>
        <w:spacing w:after="80" w:line="276" w:lineRule="auto"/>
        <w:ind w:left="792" w:hanging="360"/>
      </w:pPr>
      <w:r>
        <w:rPr>
          <w:color w:val="000000"/>
        </w:rPr>
        <w:t>•</w:t>
      </w:r>
      <w:r>
        <w:rPr>
          <w:color w:val="000000"/>
        </w:rPr>
        <w:tab/>
      </w:r>
      <w:r>
        <w:rPr>
          <w:b/>
          <w:color w:val="000000"/>
        </w:rPr>
        <w:t>Demonstrated End-to-End Operation:</w:t>
      </w:r>
      <w:r>
        <w:rPr>
          <w:color w:val="000000"/>
        </w:rPr>
        <w:t xml:space="preserve"> The pipeline has been executed end to end on real PPMI data, producing the metrics, figures and reports presented in Section 4.3; technical feasibility is therefore demonstrated rather than estimated.</w:t>
      </w:r>
    </w:p>
    <w:p w14:paraId="69018C7E" w14:textId="77777777" w:rsidR="00AE6271" w:rsidRDefault="00000000">
      <w:pPr>
        <w:keepNext/>
        <w:spacing w:before="280" w:after="160" w:line="360" w:lineRule="auto"/>
      </w:pPr>
      <w:r>
        <w:rPr>
          <w:b/>
          <w:i/>
          <w:color w:val="000000"/>
        </w:rPr>
        <w:t>3.2.2 Economic Feasibility</w:t>
      </w:r>
    </w:p>
    <w:p w14:paraId="7B77BF8C" w14:textId="77777777" w:rsidR="00AE6271" w:rsidRDefault="00000000">
      <w:pPr>
        <w:spacing w:after="80" w:line="276" w:lineRule="auto"/>
        <w:ind w:left="792" w:hanging="360"/>
      </w:pPr>
      <w:r>
        <w:rPr>
          <w:color w:val="000000"/>
        </w:rPr>
        <w:t>•</w:t>
      </w:r>
      <w:r>
        <w:rPr>
          <w:color w:val="000000"/>
        </w:rPr>
        <w:tab/>
      </w:r>
      <w:r>
        <w:rPr>
          <w:b/>
          <w:color w:val="000000"/>
        </w:rPr>
        <w:t>Data Cost:</w:t>
      </w:r>
      <w:r>
        <w:rPr>
          <w:color w:val="000000"/>
        </w:rPr>
        <w:t xml:space="preserve"> PPMI data is provided at no charge to approved academic researchers, so the dataset carries no licence cost.</w:t>
      </w:r>
    </w:p>
    <w:p w14:paraId="3BFC4EC7" w14:textId="77777777" w:rsidR="00AE6271" w:rsidRDefault="00000000">
      <w:pPr>
        <w:spacing w:after="80" w:line="276" w:lineRule="auto"/>
        <w:ind w:left="792" w:hanging="360"/>
      </w:pPr>
      <w:r>
        <w:rPr>
          <w:color w:val="000000"/>
        </w:rPr>
        <w:t>•</w:t>
      </w:r>
      <w:r>
        <w:rPr>
          <w:color w:val="000000"/>
        </w:rPr>
        <w:tab/>
      </w:r>
      <w:r>
        <w:rPr>
          <w:b/>
          <w:color w:val="000000"/>
        </w:rPr>
        <w:t>Software Cost:</w:t>
      </w:r>
      <w:r>
        <w:rPr>
          <w:color w:val="000000"/>
        </w:rPr>
        <w:t xml:space="preserve"> Every library in the stack is open source under permissive licences; there is no commercial software spend.</w:t>
      </w:r>
    </w:p>
    <w:p w14:paraId="5966F7F1" w14:textId="77777777" w:rsidR="00AE6271" w:rsidRDefault="00000000">
      <w:pPr>
        <w:spacing w:after="80" w:line="276" w:lineRule="auto"/>
        <w:ind w:left="792" w:hanging="360"/>
      </w:pPr>
      <w:r>
        <w:rPr>
          <w:color w:val="000000"/>
        </w:rPr>
        <w:t>•</w:t>
      </w:r>
      <w:r>
        <w:rPr>
          <w:color w:val="000000"/>
        </w:rPr>
        <w:tab/>
      </w:r>
      <w:r>
        <w:rPr>
          <w:b/>
          <w:color w:val="000000"/>
        </w:rPr>
        <w:t>Hardware and Infrastructure Cost:</w:t>
      </w:r>
      <w:r>
        <w:rPr>
          <w:color w:val="000000"/>
        </w:rPr>
        <w:t xml:space="preserve"> Because the pipeline runs on commodity CPU hardware already available to the team, there is no cloud compute or GPU rental expenditure.</w:t>
      </w:r>
    </w:p>
    <w:p w14:paraId="5E42B59C" w14:textId="77777777" w:rsidR="00AE6271" w:rsidRDefault="00000000">
      <w:pPr>
        <w:spacing w:after="80" w:line="276" w:lineRule="auto"/>
        <w:ind w:left="792" w:hanging="360"/>
      </w:pPr>
      <w:r>
        <w:rPr>
          <w:color w:val="000000"/>
        </w:rPr>
        <w:t>•</w:t>
      </w:r>
      <w:r>
        <w:rPr>
          <w:color w:val="000000"/>
        </w:rPr>
        <w:tab/>
      </w:r>
      <w:r>
        <w:rPr>
          <w:b/>
          <w:color w:val="000000"/>
        </w:rPr>
        <w:t>Return on Investment:</w:t>
      </w:r>
      <w:r>
        <w:rPr>
          <w:color w:val="000000"/>
        </w:rPr>
        <w:t xml:space="preserve"> The benefit is scientific rather than commercial: a validated, privacy-preserving framework that can be redirected to other multimodal neurodegenerative cohorts without re-engineering, and a leak-free benchmark that other groups can adopt.</w:t>
      </w:r>
    </w:p>
    <w:p w14:paraId="403E1270" w14:textId="77777777" w:rsidR="00AE6271" w:rsidRDefault="00000000">
      <w:pPr>
        <w:keepNext/>
        <w:spacing w:before="280" w:after="160" w:line="360" w:lineRule="auto"/>
      </w:pPr>
      <w:r>
        <w:rPr>
          <w:b/>
          <w:i/>
          <w:color w:val="000000"/>
        </w:rPr>
        <w:t>3.2.3 Social Feasibility</w:t>
      </w:r>
    </w:p>
    <w:p w14:paraId="28563AB1" w14:textId="77777777" w:rsidR="00AE6271" w:rsidRDefault="00000000">
      <w:pPr>
        <w:spacing w:after="80" w:line="276" w:lineRule="auto"/>
        <w:ind w:left="792" w:hanging="360"/>
      </w:pPr>
      <w:r>
        <w:rPr>
          <w:color w:val="000000"/>
        </w:rPr>
        <w:t>•</w:t>
      </w:r>
      <w:r>
        <w:rPr>
          <w:color w:val="000000"/>
        </w:rPr>
        <w:tab/>
      </w:r>
      <w:r>
        <w:rPr>
          <w:b/>
          <w:color w:val="000000"/>
        </w:rPr>
        <w:t>Privacy by Construction:</w:t>
      </w:r>
      <w:r>
        <w:rPr>
          <w:color w:val="000000"/>
        </w:rPr>
        <w:t xml:space="preserve"> Federated training means participating hospitals retain custody of their own records, which removes the principal institutional barrier to multi-site collaboration on patient data.</w:t>
      </w:r>
    </w:p>
    <w:p w14:paraId="0F165047" w14:textId="77777777" w:rsidR="00AE6271" w:rsidRDefault="00000000">
      <w:pPr>
        <w:spacing w:after="80" w:line="276" w:lineRule="auto"/>
        <w:ind w:left="792" w:hanging="360"/>
      </w:pPr>
      <w:r>
        <w:rPr>
          <w:color w:val="000000"/>
        </w:rPr>
        <w:t>•</w:t>
      </w:r>
      <w:r>
        <w:rPr>
          <w:color w:val="000000"/>
        </w:rPr>
        <w:tab/>
      </w:r>
      <w:r>
        <w:rPr>
          <w:b/>
          <w:color w:val="000000"/>
        </w:rPr>
        <w:t>Sustainable Development Goals:</w:t>
      </w:r>
      <w:r>
        <w:rPr>
          <w:color w:val="000000"/>
        </w:rPr>
        <w:t xml:space="preserve"> The work contributes to SDG 3 (Good Health and Well-being) by improving prognostic tooling for a major neurodegenerative disease, and to SDG 9 (Industry, Innovation and Infrastructure) by developing privacy-preserving AI infrastructure for healthcare.</w:t>
      </w:r>
    </w:p>
    <w:p w14:paraId="66125B34" w14:textId="77777777" w:rsidR="00AE6271" w:rsidRDefault="00000000">
      <w:pPr>
        <w:spacing w:after="80" w:line="276" w:lineRule="auto"/>
        <w:ind w:left="792" w:hanging="360"/>
      </w:pPr>
      <w:r>
        <w:rPr>
          <w:color w:val="000000"/>
        </w:rPr>
        <w:t>•</w:t>
      </w:r>
      <w:r>
        <w:rPr>
          <w:color w:val="000000"/>
        </w:rPr>
        <w:tab/>
      </w:r>
      <w:r>
        <w:rPr>
          <w:b/>
          <w:color w:val="000000"/>
        </w:rPr>
        <w:t>Transparency and Clinician Trust:</w:t>
      </w:r>
      <w:r>
        <w:rPr>
          <w:color w:val="000000"/>
        </w:rPr>
        <w:t xml:space="preserve"> The explainability suite reports which modality drove each prediction, which is a precondition for clinical acceptance of any model in this domain.</w:t>
      </w:r>
    </w:p>
    <w:p w14:paraId="6941C88F" w14:textId="77777777" w:rsidR="00AE6271" w:rsidRDefault="00000000">
      <w:pPr>
        <w:spacing w:after="80" w:line="276" w:lineRule="auto"/>
        <w:ind w:left="792" w:hanging="360"/>
      </w:pPr>
      <w:r>
        <w:rPr>
          <w:color w:val="000000"/>
        </w:rPr>
        <w:t>•</w:t>
      </w:r>
      <w:r>
        <w:rPr>
          <w:color w:val="000000"/>
        </w:rPr>
        <w:tab/>
      </w:r>
      <w:r>
        <w:rPr>
          <w:b/>
          <w:color w:val="000000"/>
        </w:rPr>
        <w:t>Ethical Positioning:</w:t>
      </w:r>
      <w:r>
        <w:rPr>
          <w:color w:val="000000"/>
        </w:rPr>
        <w:t xml:space="preserve"> The system is a research instrument, not a diagnostic device. Its outputs are not intended to inform individual patient care, and the reported progression accuracy is stated honestly, including where it fails to exceed a classical baseline.</w:t>
      </w:r>
    </w:p>
    <w:p w14:paraId="1BB7FAA8" w14:textId="77777777" w:rsidR="00AE6271" w:rsidRDefault="00000000">
      <w:pPr>
        <w:keepNext/>
        <w:spacing w:before="280" w:after="160" w:line="360" w:lineRule="auto"/>
      </w:pPr>
      <w:r>
        <w:rPr>
          <w:b/>
          <w:color w:val="000000"/>
          <w:sz w:val="26"/>
        </w:rPr>
        <w:lastRenderedPageBreak/>
        <w:t>3.3 System Specification</w:t>
      </w:r>
    </w:p>
    <w:p w14:paraId="7C17B74D" w14:textId="77777777" w:rsidR="00AE6271" w:rsidRDefault="00000000">
      <w:pPr>
        <w:keepNext/>
        <w:spacing w:before="280" w:after="160" w:line="360" w:lineRule="auto"/>
      </w:pPr>
      <w:r>
        <w:rPr>
          <w:b/>
          <w:i/>
          <w:color w:val="000000"/>
        </w:rPr>
        <w:t>3.3.1 Hardware Specification</w:t>
      </w:r>
    </w:p>
    <w:p w14:paraId="34DFEE9F" w14:textId="77777777" w:rsidR="00AE6271" w:rsidRDefault="00000000">
      <w:pPr>
        <w:spacing w:after="120" w:line="276" w:lineRule="auto"/>
        <w:jc w:val="both"/>
      </w:pPr>
      <w:r>
        <w:rPr>
          <w:color w:val="000000"/>
        </w:rPr>
        <w:t>The system is deliberately CPU-only. The GPU listed below was present on the development machine but is not used by the pipeline.</w:t>
      </w:r>
    </w:p>
    <w:tbl>
      <w:tblPr>
        <w:tblStyle w:val="TableGrid"/>
        <w:tblW w:w="0" w:type="auto"/>
        <w:jc w:val="center"/>
        <w:tblLayout w:type="fixed"/>
        <w:tblLook w:val="04A0" w:firstRow="1" w:lastRow="0" w:firstColumn="1" w:lastColumn="0" w:noHBand="0" w:noVBand="1"/>
      </w:tblPr>
      <w:tblGrid>
        <w:gridCol w:w="2016"/>
        <w:gridCol w:w="4320"/>
        <w:gridCol w:w="2808"/>
      </w:tblGrid>
      <w:tr w:rsidR="00AE6271" w14:paraId="1CE909C7" w14:textId="77777777">
        <w:trPr>
          <w:jc w:val="center"/>
        </w:trPr>
        <w:tc>
          <w:tcPr>
            <w:tcW w:w="2016" w:type="dxa"/>
            <w:shd w:val="clear" w:color="auto" w:fill="D9E2F3"/>
          </w:tcPr>
          <w:p w14:paraId="0DD2281A" w14:textId="77777777" w:rsidR="00AE6271" w:rsidRDefault="00000000">
            <w:pPr>
              <w:spacing w:before="20" w:after="20"/>
            </w:pPr>
            <w:r>
              <w:rPr>
                <w:b/>
                <w:color w:val="000000"/>
                <w:sz w:val="20"/>
              </w:rPr>
              <w:t>Component</w:t>
            </w:r>
          </w:p>
        </w:tc>
        <w:tc>
          <w:tcPr>
            <w:tcW w:w="4320" w:type="dxa"/>
            <w:shd w:val="clear" w:color="auto" w:fill="D9E2F3"/>
          </w:tcPr>
          <w:p w14:paraId="525914DB" w14:textId="77777777" w:rsidR="00AE6271" w:rsidRDefault="00000000">
            <w:pPr>
              <w:spacing w:before="20" w:after="20"/>
            </w:pPr>
            <w:r>
              <w:rPr>
                <w:b/>
                <w:color w:val="000000"/>
                <w:sz w:val="20"/>
              </w:rPr>
              <w:t>Specification used in development</w:t>
            </w:r>
          </w:p>
        </w:tc>
        <w:tc>
          <w:tcPr>
            <w:tcW w:w="2808" w:type="dxa"/>
            <w:shd w:val="clear" w:color="auto" w:fill="D9E2F3"/>
          </w:tcPr>
          <w:p w14:paraId="3E82043A" w14:textId="77777777" w:rsidR="00AE6271" w:rsidRDefault="00000000">
            <w:pPr>
              <w:spacing w:before="20" w:after="20"/>
            </w:pPr>
            <w:r>
              <w:rPr>
                <w:b/>
                <w:color w:val="000000"/>
                <w:sz w:val="20"/>
              </w:rPr>
              <w:t>Minimum requirement</w:t>
            </w:r>
          </w:p>
        </w:tc>
      </w:tr>
      <w:tr w:rsidR="00AE6271" w14:paraId="63D6266C" w14:textId="77777777">
        <w:trPr>
          <w:jc w:val="center"/>
        </w:trPr>
        <w:tc>
          <w:tcPr>
            <w:tcW w:w="2016" w:type="dxa"/>
          </w:tcPr>
          <w:p w14:paraId="3328CF91" w14:textId="77777777" w:rsidR="00AE6271" w:rsidRDefault="00000000">
            <w:pPr>
              <w:spacing w:before="20" w:after="20"/>
            </w:pPr>
            <w:r>
              <w:rPr>
                <w:color w:val="000000"/>
                <w:sz w:val="20"/>
              </w:rPr>
              <w:t>Processor</w:t>
            </w:r>
          </w:p>
        </w:tc>
        <w:tc>
          <w:tcPr>
            <w:tcW w:w="4320" w:type="dxa"/>
          </w:tcPr>
          <w:p w14:paraId="3FAFB0F6" w14:textId="77777777" w:rsidR="00AE6271" w:rsidRDefault="00000000">
            <w:pPr>
              <w:spacing w:before="20" w:after="20"/>
            </w:pPr>
            <w:r>
              <w:rPr>
                <w:color w:val="000000"/>
                <w:sz w:val="20"/>
              </w:rPr>
              <w:t>Intel Core Ultra 7 155H (16 cores, 22 threads)</w:t>
            </w:r>
          </w:p>
        </w:tc>
        <w:tc>
          <w:tcPr>
            <w:tcW w:w="2808" w:type="dxa"/>
          </w:tcPr>
          <w:p w14:paraId="5224AB8D" w14:textId="77777777" w:rsidR="00AE6271" w:rsidRDefault="00000000">
            <w:pPr>
              <w:spacing w:before="20" w:after="20"/>
            </w:pPr>
            <w:r>
              <w:rPr>
                <w:color w:val="000000"/>
                <w:sz w:val="20"/>
              </w:rPr>
              <w:t>Any x86-64 quad-core CPU</w:t>
            </w:r>
          </w:p>
        </w:tc>
      </w:tr>
      <w:tr w:rsidR="00AE6271" w14:paraId="5646D5A5" w14:textId="77777777">
        <w:trPr>
          <w:jc w:val="center"/>
        </w:trPr>
        <w:tc>
          <w:tcPr>
            <w:tcW w:w="2016" w:type="dxa"/>
          </w:tcPr>
          <w:p w14:paraId="298CF426" w14:textId="77777777" w:rsidR="00AE6271" w:rsidRDefault="00000000">
            <w:pPr>
              <w:spacing w:before="20" w:after="20"/>
            </w:pPr>
            <w:r>
              <w:rPr>
                <w:color w:val="000000"/>
                <w:sz w:val="20"/>
              </w:rPr>
              <w:t>Memory (RAM)</w:t>
            </w:r>
          </w:p>
        </w:tc>
        <w:tc>
          <w:tcPr>
            <w:tcW w:w="4320" w:type="dxa"/>
          </w:tcPr>
          <w:p w14:paraId="1F7F1366" w14:textId="77777777" w:rsidR="00AE6271" w:rsidRDefault="00000000">
            <w:pPr>
              <w:spacing w:before="20" w:after="20"/>
            </w:pPr>
            <w:r>
              <w:rPr>
                <w:color w:val="000000"/>
                <w:sz w:val="20"/>
              </w:rPr>
              <w:t>16 GB</w:t>
            </w:r>
          </w:p>
        </w:tc>
        <w:tc>
          <w:tcPr>
            <w:tcW w:w="2808" w:type="dxa"/>
          </w:tcPr>
          <w:p w14:paraId="6917EF5E" w14:textId="77777777" w:rsidR="00AE6271" w:rsidRDefault="00000000">
            <w:pPr>
              <w:spacing w:before="20" w:after="20"/>
            </w:pPr>
            <w:r>
              <w:rPr>
                <w:color w:val="000000"/>
                <w:sz w:val="20"/>
              </w:rPr>
              <w:t>8 GB</w:t>
            </w:r>
          </w:p>
        </w:tc>
      </w:tr>
      <w:tr w:rsidR="00AE6271" w14:paraId="112484F3" w14:textId="77777777">
        <w:trPr>
          <w:jc w:val="center"/>
        </w:trPr>
        <w:tc>
          <w:tcPr>
            <w:tcW w:w="2016" w:type="dxa"/>
          </w:tcPr>
          <w:p w14:paraId="767EF560" w14:textId="77777777" w:rsidR="00AE6271" w:rsidRDefault="00000000">
            <w:pPr>
              <w:spacing w:before="20" w:after="20"/>
            </w:pPr>
            <w:r>
              <w:rPr>
                <w:color w:val="000000"/>
                <w:sz w:val="20"/>
              </w:rPr>
              <w:t>Storage</w:t>
            </w:r>
          </w:p>
        </w:tc>
        <w:tc>
          <w:tcPr>
            <w:tcW w:w="4320" w:type="dxa"/>
          </w:tcPr>
          <w:p w14:paraId="7F986D4A" w14:textId="77777777" w:rsidR="00AE6271" w:rsidRDefault="00000000">
            <w:pPr>
              <w:spacing w:before="20" w:after="20"/>
            </w:pPr>
            <w:r>
              <w:rPr>
                <w:color w:val="000000"/>
                <w:sz w:val="20"/>
              </w:rPr>
              <w:t>150 GB SSD (dataset, environment and outputs)</w:t>
            </w:r>
          </w:p>
        </w:tc>
        <w:tc>
          <w:tcPr>
            <w:tcW w:w="2808" w:type="dxa"/>
          </w:tcPr>
          <w:p w14:paraId="15A5B52F" w14:textId="77777777" w:rsidR="00AE6271" w:rsidRDefault="00000000">
            <w:pPr>
              <w:spacing w:before="20" w:after="20"/>
            </w:pPr>
            <w:r>
              <w:rPr>
                <w:color w:val="000000"/>
                <w:sz w:val="20"/>
              </w:rPr>
              <w:t>20 GB free</w:t>
            </w:r>
          </w:p>
        </w:tc>
      </w:tr>
      <w:tr w:rsidR="00AE6271" w14:paraId="1BCEBE62" w14:textId="77777777">
        <w:trPr>
          <w:jc w:val="center"/>
        </w:trPr>
        <w:tc>
          <w:tcPr>
            <w:tcW w:w="2016" w:type="dxa"/>
          </w:tcPr>
          <w:p w14:paraId="410D0C95" w14:textId="77777777" w:rsidR="00AE6271" w:rsidRDefault="00000000">
            <w:pPr>
              <w:spacing w:before="20" w:after="20"/>
            </w:pPr>
            <w:r>
              <w:rPr>
                <w:color w:val="000000"/>
                <w:sz w:val="20"/>
              </w:rPr>
              <w:t>Graphics (GPU)</w:t>
            </w:r>
          </w:p>
        </w:tc>
        <w:tc>
          <w:tcPr>
            <w:tcW w:w="4320" w:type="dxa"/>
          </w:tcPr>
          <w:p w14:paraId="2CA893B6" w14:textId="77777777" w:rsidR="00AE6271" w:rsidRDefault="00000000">
            <w:pPr>
              <w:spacing w:before="20" w:after="20"/>
            </w:pPr>
            <w:r>
              <w:rPr>
                <w:color w:val="000000"/>
                <w:sz w:val="20"/>
              </w:rPr>
              <w:t>NVIDIA GeForce RTX 4070 Laptop (not required)</w:t>
            </w:r>
          </w:p>
        </w:tc>
        <w:tc>
          <w:tcPr>
            <w:tcW w:w="2808" w:type="dxa"/>
          </w:tcPr>
          <w:p w14:paraId="5A376FF4" w14:textId="77777777" w:rsidR="00AE6271" w:rsidRDefault="00000000">
            <w:pPr>
              <w:spacing w:before="20" w:after="20"/>
            </w:pPr>
            <w:r>
              <w:rPr>
                <w:color w:val="000000"/>
                <w:sz w:val="20"/>
              </w:rPr>
              <w:t>Not required - CPU only</w:t>
            </w:r>
          </w:p>
        </w:tc>
      </w:tr>
      <w:tr w:rsidR="00AE6271" w14:paraId="46C3958B" w14:textId="77777777">
        <w:trPr>
          <w:jc w:val="center"/>
        </w:trPr>
        <w:tc>
          <w:tcPr>
            <w:tcW w:w="2016" w:type="dxa"/>
          </w:tcPr>
          <w:p w14:paraId="656A67CD" w14:textId="77777777" w:rsidR="00AE6271" w:rsidRDefault="00000000">
            <w:pPr>
              <w:spacing w:before="20" w:after="20"/>
            </w:pPr>
            <w:r>
              <w:rPr>
                <w:color w:val="000000"/>
                <w:sz w:val="20"/>
              </w:rPr>
              <w:t>Display</w:t>
            </w:r>
          </w:p>
        </w:tc>
        <w:tc>
          <w:tcPr>
            <w:tcW w:w="4320" w:type="dxa"/>
          </w:tcPr>
          <w:p w14:paraId="3E1D1823" w14:textId="77777777" w:rsidR="00AE6271" w:rsidRDefault="00000000">
            <w:pPr>
              <w:spacing w:before="20" w:after="20"/>
            </w:pPr>
            <w:r>
              <w:rPr>
                <w:color w:val="000000"/>
                <w:sz w:val="20"/>
              </w:rPr>
              <w:t>1920 x 1080 or higher</w:t>
            </w:r>
          </w:p>
        </w:tc>
        <w:tc>
          <w:tcPr>
            <w:tcW w:w="2808" w:type="dxa"/>
          </w:tcPr>
          <w:p w14:paraId="7D33C96F" w14:textId="77777777" w:rsidR="00AE6271" w:rsidRDefault="00000000">
            <w:pPr>
              <w:spacing w:before="20" w:after="20"/>
            </w:pPr>
            <w:r>
              <w:rPr>
                <w:color w:val="000000"/>
                <w:sz w:val="20"/>
              </w:rPr>
              <w:t>1366 x 768</w:t>
            </w:r>
          </w:p>
        </w:tc>
      </w:tr>
    </w:tbl>
    <w:p w14:paraId="584CD6D4" w14:textId="77777777" w:rsidR="00AE6271" w:rsidRDefault="00000000">
      <w:pPr>
        <w:spacing w:before="40" w:after="240"/>
        <w:jc w:val="center"/>
      </w:pPr>
      <w:r>
        <w:rPr>
          <w:i/>
          <w:color w:val="595959"/>
          <w:sz w:val="22"/>
        </w:rPr>
        <w:t>Table 2. Hardware specification.</w:t>
      </w:r>
    </w:p>
    <w:p w14:paraId="16DA5AFC" w14:textId="77777777" w:rsidR="00AE6271" w:rsidRDefault="00000000">
      <w:pPr>
        <w:keepNext/>
        <w:spacing w:before="280" w:after="160" w:line="360" w:lineRule="auto"/>
      </w:pPr>
      <w:r>
        <w:rPr>
          <w:b/>
          <w:i/>
          <w:color w:val="000000"/>
        </w:rPr>
        <w:t>3.3.2 Software Specification</w:t>
      </w:r>
    </w:p>
    <w:tbl>
      <w:tblPr>
        <w:tblStyle w:val="TableGrid"/>
        <w:tblW w:w="0" w:type="auto"/>
        <w:jc w:val="center"/>
        <w:tblLayout w:type="fixed"/>
        <w:tblLook w:val="04A0" w:firstRow="1" w:lastRow="0" w:firstColumn="1" w:lastColumn="0" w:noHBand="0" w:noVBand="1"/>
      </w:tblPr>
      <w:tblGrid>
        <w:gridCol w:w="2592"/>
        <w:gridCol w:w="6552"/>
      </w:tblGrid>
      <w:tr w:rsidR="00AE6271" w14:paraId="5B094ECF" w14:textId="77777777">
        <w:trPr>
          <w:jc w:val="center"/>
        </w:trPr>
        <w:tc>
          <w:tcPr>
            <w:tcW w:w="2592" w:type="dxa"/>
            <w:shd w:val="clear" w:color="auto" w:fill="D9E2F3"/>
          </w:tcPr>
          <w:p w14:paraId="51E13276" w14:textId="77777777" w:rsidR="00AE6271" w:rsidRDefault="00000000">
            <w:pPr>
              <w:spacing w:before="20" w:after="20"/>
            </w:pPr>
            <w:r>
              <w:rPr>
                <w:b/>
                <w:color w:val="000000"/>
                <w:sz w:val="20"/>
              </w:rPr>
              <w:t>Category</w:t>
            </w:r>
          </w:p>
        </w:tc>
        <w:tc>
          <w:tcPr>
            <w:tcW w:w="6552" w:type="dxa"/>
            <w:shd w:val="clear" w:color="auto" w:fill="D9E2F3"/>
          </w:tcPr>
          <w:p w14:paraId="4759CC8E" w14:textId="77777777" w:rsidR="00AE6271" w:rsidRDefault="00000000">
            <w:pPr>
              <w:spacing w:before="20" w:after="20"/>
            </w:pPr>
            <w:r>
              <w:rPr>
                <w:b/>
                <w:color w:val="000000"/>
                <w:sz w:val="20"/>
              </w:rPr>
              <w:t>Component and version</w:t>
            </w:r>
          </w:p>
        </w:tc>
      </w:tr>
      <w:tr w:rsidR="00AE6271" w14:paraId="0F5845C6" w14:textId="77777777">
        <w:trPr>
          <w:jc w:val="center"/>
        </w:trPr>
        <w:tc>
          <w:tcPr>
            <w:tcW w:w="2592" w:type="dxa"/>
          </w:tcPr>
          <w:p w14:paraId="0F213245" w14:textId="77777777" w:rsidR="00AE6271" w:rsidRDefault="00000000">
            <w:pPr>
              <w:spacing w:before="20" w:after="20"/>
            </w:pPr>
            <w:r>
              <w:rPr>
                <w:color w:val="000000"/>
                <w:sz w:val="20"/>
              </w:rPr>
              <w:t>Operating System</w:t>
            </w:r>
          </w:p>
        </w:tc>
        <w:tc>
          <w:tcPr>
            <w:tcW w:w="6552" w:type="dxa"/>
          </w:tcPr>
          <w:p w14:paraId="07923718" w14:textId="77777777" w:rsidR="00AE6271" w:rsidRDefault="00000000">
            <w:pPr>
              <w:spacing w:before="20" w:after="20"/>
            </w:pPr>
            <w:r>
              <w:rPr>
                <w:color w:val="000000"/>
                <w:sz w:val="20"/>
              </w:rPr>
              <w:t>Windows 11 (build 26200); the pipeline is platform independent</w:t>
            </w:r>
          </w:p>
        </w:tc>
      </w:tr>
      <w:tr w:rsidR="00AE6271" w14:paraId="6211BBB9" w14:textId="77777777">
        <w:trPr>
          <w:jc w:val="center"/>
        </w:trPr>
        <w:tc>
          <w:tcPr>
            <w:tcW w:w="2592" w:type="dxa"/>
          </w:tcPr>
          <w:p w14:paraId="48797D4B" w14:textId="77777777" w:rsidR="00AE6271" w:rsidRDefault="00000000">
            <w:pPr>
              <w:spacing w:before="20" w:after="20"/>
            </w:pPr>
            <w:r>
              <w:rPr>
                <w:color w:val="000000"/>
                <w:sz w:val="20"/>
              </w:rPr>
              <w:t>Programming Language</w:t>
            </w:r>
          </w:p>
        </w:tc>
        <w:tc>
          <w:tcPr>
            <w:tcW w:w="6552" w:type="dxa"/>
          </w:tcPr>
          <w:p w14:paraId="77C88135" w14:textId="77777777" w:rsidR="00AE6271" w:rsidRDefault="00000000">
            <w:pPr>
              <w:spacing w:before="20" w:after="20"/>
            </w:pPr>
            <w:r>
              <w:rPr>
                <w:color w:val="000000"/>
                <w:sz w:val="20"/>
              </w:rPr>
              <w:t>Python 3.11</w:t>
            </w:r>
          </w:p>
        </w:tc>
      </w:tr>
      <w:tr w:rsidR="00AE6271" w14:paraId="0600C317" w14:textId="77777777">
        <w:trPr>
          <w:jc w:val="center"/>
        </w:trPr>
        <w:tc>
          <w:tcPr>
            <w:tcW w:w="2592" w:type="dxa"/>
          </w:tcPr>
          <w:p w14:paraId="5D5B9095" w14:textId="77777777" w:rsidR="00AE6271" w:rsidRDefault="00000000">
            <w:pPr>
              <w:spacing w:before="20" w:after="20"/>
            </w:pPr>
            <w:r>
              <w:rPr>
                <w:color w:val="000000"/>
                <w:sz w:val="20"/>
              </w:rPr>
              <w:t>Development Environment</w:t>
            </w:r>
          </w:p>
        </w:tc>
        <w:tc>
          <w:tcPr>
            <w:tcW w:w="6552" w:type="dxa"/>
          </w:tcPr>
          <w:p w14:paraId="1CC67EF2" w14:textId="77777777" w:rsidR="00AE6271" w:rsidRDefault="00000000">
            <w:pPr>
              <w:spacing w:before="20" w:after="20"/>
            </w:pPr>
            <w:r>
              <w:rPr>
                <w:color w:val="000000"/>
                <w:sz w:val="20"/>
              </w:rPr>
              <w:t>Visual Studio Code, Git, Python virtual environment (venv)</w:t>
            </w:r>
          </w:p>
        </w:tc>
      </w:tr>
      <w:tr w:rsidR="00AE6271" w14:paraId="4C3ADDF7" w14:textId="77777777">
        <w:trPr>
          <w:jc w:val="center"/>
        </w:trPr>
        <w:tc>
          <w:tcPr>
            <w:tcW w:w="2592" w:type="dxa"/>
          </w:tcPr>
          <w:p w14:paraId="6648ED2B" w14:textId="77777777" w:rsidR="00AE6271" w:rsidRDefault="00000000">
            <w:pPr>
              <w:spacing w:before="20" w:after="20"/>
            </w:pPr>
            <w:r>
              <w:rPr>
                <w:color w:val="000000"/>
                <w:sz w:val="20"/>
              </w:rPr>
              <w:t>Deep Learning</w:t>
            </w:r>
          </w:p>
        </w:tc>
        <w:tc>
          <w:tcPr>
            <w:tcW w:w="6552" w:type="dxa"/>
          </w:tcPr>
          <w:p w14:paraId="16BF8415" w14:textId="77777777" w:rsidR="00AE6271" w:rsidRDefault="00000000">
            <w:pPr>
              <w:spacing w:before="20" w:after="20"/>
            </w:pPr>
            <w:r>
              <w:rPr>
                <w:color w:val="000000"/>
                <w:sz w:val="20"/>
              </w:rPr>
              <w:t>PyTorch 2.3.0, Captum 0.7 (integrated gradients)</w:t>
            </w:r>
          </w:p>
        </w:tc>
      </w:tr>
      <w:tr w:rsidR="00AE6271" w14:paraId="7AE3D2BF" w14:textId="77777777">
        <w:trPr>
          <w:jc w:val="center"/>
        </w:trPr>
        <w:tc>
          <w:tcPr>
            <w:tcW w:w="2592" w:type="dxa"/>
          </w:tcPr>
          <w:p w14:paraId="09621963" w14:textId="77777777" w:rsidR="00AE6271" w:rsidRDefault="00000000">
            <w:pPr>
              <w:spacing w:before="20" w:after="20"/>
            </w:pPr>
            <w:r>
              <w:rPr>
                <w:color w:val="000000"/>
                <w:sz w:val="20"/>
              </w:rPr>
              <w:t>Classical ML</w:t>
            </w:r>
          </w:p>
        </w:tc>
        <w:tc>
          <w:tcPr>
            <w:tcW w:w="6552" w:type="dxa"/>
          </w:tcPr>
          <w:p w14:paraId="1374977A" w14:textId="77777777" w:rsidR="00AE6271" w:rsidRDefault="00000000">
            <w:pPr>
              <w:spacing w:before="20" w:after="20"/>
            </w:pPr>
            <w:r>
              <w:rPr>
                <w:color w:val="000000"/>
                <w:sz w:val="20"/>
              </w:rPr>
              <w:t>scikit-learn 1.4.2, XGBoost 2.0.3, LightGBM 4.3.0, SHAP 0.45.0</w:t>
            </w:r>
          </w:p>
        </w:tc>
      </w:tr>
      <w:tr w:rsidR="00AE6271" w14:paraId="247AE2A3" w14:textId="77777777">
        <w:trPr>
          <w:jc w:val="center"/>
        </w:trPr>
        <w:tc>
          <w:tcPr>
            <w:tcW w:w="2592" w:type="dxa"/>
          </w:tcPr>
          <w:p w14:paraId="1118E8C5" w14:textId="77777777" w:rsidR="00AE6271" w:rsidRDefault="00000000">
            <w:pPr>
              <w:spacing w:before="20" w:after="20"/>
            </w:pPr>
            <w:r>
              <w:rPr>
                <w:color w:val="000000"/>
                <w:sz w:val="20"/>
              </w:rPr>
              <w:t>Neuroimaging</w:t>
            </w:r>
          </w:p>
        </w:tc>
        <w:tc>
          <w:tcPr>
            <w:tcW w:w="6552" w:type="dxa"/>
          </w:tcPr>
          <w:p w14:paraId="03A678F4" w14:textId="77777777" w:rsidR="00AE6271" w:rsidRDefault="00000000">
            <w:pPr>
              <w:spacing w:before="20" w:after="20"/>
            </w:pPr>
            <w:r>
              <w:rPr>
                <w:color w:val="000000"/>
                <w:sz w:val="20"/>
              </w:rPr>
              <w:t>nibabel 5.2.0, nilearn 0.10.3 (Schaefer-2018 atlas), pydicom 2.4.3</w:t>
            </w:r>
          </w:p>
        </w:tc>
      </w:tr>
      <w:tr w:rsidR="00AE6271" w14:paraId="7C3439D3" w14:textId="77777777">
        <w:trPr>
          <w:jc w:val="center"/>
        </w:trPr>
        <w:tc>
          <w:tcPr>
            <w:tcW w:w="2592" w:type="dxa"/>
          </w:tcPr>
          <w:p w14:paraId="19555152" w14:textId="77777777" w:rsidR="00AE6271" w:rsidRDefault="00000000">
            <w:pPr>
              <w:spacing w:before="20" w:after="20"/>
            </w:pPr>
            <w:r>
              <w:rPr>
                <w:color w:val="000000"/>
                <w:sz w:val="20"/>
              </w:rPr>
              <w:t>Data Handling</w:t>
            </w:r>
          </w:p>
        </w:tc>
        <w:tc>
          <w:tcPr>
            <w:tcW w:w="6552" w:type="dxa"/>
          </w:tcPr>
          <w:p w14:paraId="791D82EA" w14:textId="77777777" w:rsidR="00AE6271" w:rsidRDefault="00000000">
            <w:pPr>
              <w:spacing w:before="20" w:after="20"/>
            </w:pPr>
            <w:r>
              <w:rPr>
                <w:color w:val="000000"/>
                <w:sz w:val="20"/>
              </w:rPr>
              <w:t>pandas 2.2.2, NumPy 1.26.4, PyArrow 15</w:t>
            </w:r>
          </w:p>
        </w:tc>
      </w:tr>
      <w:tr w:rsidR="00AE6271" w14:paraId="14977E74" w14:textId="77777777">
        <w:trPr>
          <w:jc w:val="center"/>
        </w:trPr>
        <w:tc>
          <w:tcPr>
            <w:tcW w:w="2592" w:type="dxa"/>
          </w:tcPr>
          <w:p w14:paraId="7A9B465D" w14:textId="77777777" w:rsidR="00AE6271" w:rsidRDefault="00000000">
            <w:pPr>
              <w:spacing w:before="20" w:after="20"/>
            </w:pPr>
            <w:r>
              <w:rPr>
                <w:color w:val="000000"/>
                <w:sz w:val="20"/>
              </w:rPr>
              <w:t>Visualisation</w:t>
            </w:r>
          </w:p>
        </w:tc>
        <w:tc>
          <w:tcPr>
            <w:tcW w:w="6552" w:type="dxa"/>
          </w:tcPr>
          <w:p w14:paraId="31E76196" w14:textId="77777777" w:rsidR="00AE6271" w:rsidRDefault="00000000">
            <w:pPr>
              <w:spacing w:before="20" w:after="20"/>
            </w:pPr>
            <w:r>
              <w:rPr>
                <w:color w:val="000000"/>
                <w:sz w:val="20"/>
              </w:rPr>
              <w:t>Matplotlib 3.9.0, seaborn 0.13.2, UMAP-learn 0.5.6</w:t>
            </w:r>
          </w:p>
        </w:tc>
      </w:tr>
      <w:tr w:rsidR="00AE6271" w14:paraId="2C9D872A" w14:textId="77777777">
        <w:trPr>
          <w:jc w:val="center"/>
        </w:trPr>
        <w:tc>
          <w:tcPr>
            <w:tcW w:w="2592" w:type="dxa"/>
          </w:tcPr>
          <w:p w14:paraId="12DADC25" w14:textId="77777777" w:rsidR="00AE6271" w:rsidRDefault="00000000">
            <w:pPr>
              <w:spacing w:before="20" w:after="20"/>
            </w:pPr>
            <w:r>
              <w:rPr>
                <w:color w:val="000000"/>
                <w:sz w:val="20"/>
              </w:rPr>
              <w:t>Configuration and Testing</w:t>
            </w:r>
          </w:p>
        </w:tc>
        <w:tc>
          <w:tcPr>
            <w:tcW w:w="6552" w:type="dxa"/>
          </w:tcPr>
          <w:p w14:paraId="713C2D2A" w14:textId="77777777" w:rsidR="00AE6271" w:rsidRDefault="00000000">
            <w:pPr>
              <w:spacing w:before="20" w:after="20"/>
            </w:pPr>
            <w:r>
              <w:rPr>
                <w:color w:val="000000"/>
                <w:sz w:val="20"/>
              </w:rPr>
              <w:t>PyYAML 6.0.1, python-dotenv 1.0.1, pytest 8.2.0</w:t>
            </w:r>
          </w:p>
        </w:tc>
      </w:tr>
      <w:tr w:rsidR="00AE6271" w14:paraId="6971229F" w14:textId="77777777">
        <w:trPr>
          <w:jc w:val="center"/>
        </w:trPr>
        <w:tc>
          <w:tcPr>
            <w:tcW w:w="2592" w:type="dxa"/>
          </w:tcPr>
          <w:p w14:paraId="3257271B" w14:textId="77777777" w:rsidR="00AE6271" w:rsidRDefault="00000000">
            <w:pPr>
              <w:spacing w:before="20" w:after="20"/>
            </w:pPr>
            <w:r>
              <w:rPr>
                <w:color w:val="000000"/>
                <w:sz w:val="20"/>
              </w:rPr>
              <w:t>Data Source</w:t>
            </w:r>
          </w:p>
        </w:tc>
        <w:tc>
          <w:tcPr>
            <w:tcW w:w="6552" w:type="dxa"/>
          </w:tcPr>
          <w:p w14:paraId="54841046" w14:textId="77777777" w:rsidR="00AE6271" w:rsidRDefault="00000000">
            <w:pPr>
              <w:spacing w:before="20" w:after="20"/>
            </w:pPr>
            <w:r>
              <w:rPr>
                <w:color w:val="000000"/>
                <w:sz w:val="20"/>
              </w:rPr>
              <w:t>PPMI study data via the IDA-LONI portal (ppmi-downloader 0.7.6)</w:t>
            </w:r>
          </w:p>
        </w:tc>
      </w:tr>
    </w:tbl>
    <w:p w14:paraId="344A1BC2" w14:textId="77777777" w:rsidR="00AE6271" w:rsidRDefault="00000000">
      <w:pPr>
        <w:spacing w:before="40" w:after="240"/>
        <w:jc w:val="center"/>
      </w:pPr>
      <w:r>
        <w:rPr>
          <w:i/>
          <w:color w:val="595959"/>
          <w:sz w:val="22"/>
        </w:rPr>
        <w:t>Table 3. Software specification.</w:t>
      </w:r>
    </w:p>
    <w:p w14:paraId="1A17ADD5" w14:textId="77777777" w:rsidR="00AE6271" w:rsidRDefault="00000000">
      <w:r>
        <w:br w:type="page"/>
      </w:r>
    </w:p>
    <w:p w14:paraId="19747B61" w14:textId="77777777" w:rsidR="00AE6271" w:rsidRDefault="00000000">
      <w:pPr>
        <w:keepNext/>
        <w:spacing w:after="160" w:line="360" w:lineRule="auto"/>
      </w:pPr>
      <w:r>
        <w:rPr>
          <w:b/>
          <w:color w:val="000000"/>
          <w:sz w:val="28"/>
        </w:rPr>
        <w:lastRenderedPageBreak/>
        <w:t>4. DESIGN APPROACH AND DETAILS</w:t>
      </w:r>
    </w:p>
    <w:p w14:paraId="24ADF827" w14:textId="77777777" w:rsidR="00AE6271" w:rsidRDefault="00000000">
      <w:pPr>
        <w:keepNext/>
        <w:spacing w:before="280" w:after="160" w:line="360" w:lineRule="auto"/>
      </w:pPr>
      <w:r>
        <w:rPr>
          <w:b/>
          <w:color w:val="000000"/>
          <w:sz w:val="26"/>
        </w:rPr>
        <w:t>4.1 System Architecture</w:t>
      </w:r>
    </w:p>
    <w:p w14:paraId="4115C7AF" w14:textId="77777777" w:rsidR="00AE6271" w:rsidRDefault="00000000">
      <w:pPr>
        <w:spacing w:after="120" w:line="276" w:lineRule="auto"/>
        <w:jc w:val="both"/>
      </w:pPr>
      <w:r>
        <w:rPr>
          <w:color w:val="000000"/>
        </w:rPr>
        <w:t>The system is organised into six tiers, shown in Fig. 2. Tier 1 is the raw PPMI data as downloaded from the IDA-LONI portal. Tier 2 converts each modality into engineered features: the clinical loader assembles the official NP*TOT totals and constructs the progression target, the MRI pipeline parcellates T1-weighted volumes into 100 Schaefer regions, the PET loader derives striatal binding ratios together with asymmetry indices and composite ratios, and the genetic loader encodes carrier status for six PD-associated genes. Tier 3 aligns the modalities on the PATNO identifier and drops subjects without a genuine year-two label, yielding 3,472 subjects described by 126 features.</w:t>
      </w:r>
    </w:p>
    <w:p w14:paraId="7B9A6467" w14:textId="77777777" w:rsidR="00AE6271" w:rsidRDefault="00000000">
      <w:pPr>
        <w:spacing w:after="120" w:line="276" w:lineRule="auto"/>
        <w:jc w:val="both"/>
      </w:pPr>
      <w:r>
        <w:rPr>
          <w:color w:val="000000"/>
        </w:rPr>
        <w:t>Tier 4 enforces the evaluation protocol: a subject-level stratified split, imputers and scalers fitted on the training partition alone, and a Dirichlet label-skew partition that simulates non-IID clinical sites. Tier 5 is the Fed-PhenoGraft model itself. The clinical phenotype is encoded into a query vector; each auxiliary modality is encoded into a shared and a private representation, with a learned mask token substituted whenever the modality is absent; three cross-attention blocks let the phenotype query retrieve from the shared representations; and the four resulting vectors are concatenated. An HSIC penalty drives each shared and private pair towards statistical independence. Tier 6 contains the two task heads and the evaluation and explainability layer.</w:t>
      </w:r>
    </w:p>
    <w:p w14:paraId="6D0ACFD5" w14:textId="77777777" w:rsidR="00AE6271" w:rsidRDefault="00000000">
      <w:pPr>
        <w:spacing w:after="120" w:line="276" w:lineRule="auto"/>
        <w:jc w:val="both"/>
      </w:pPr>
      <w:r>
        <w:rPr>
          <w:color w:val="000000"/>
        </w:rPr>
        <w:t>The asymmetry is the defining property of the design. Only the clinical modality becomes a query; imaging and genetics supply keys and values. This encodes the empirical fact that the clinical block is complete for every subject in the cohort while genetic results are absent for 78 per cent of them. The federated wrapper is orthogonal to this structure: the entire model is one client, four clients train locally for two epochs per round, and the orchestrator averages their weights in proportion to client sample count. No raw feature vector is ever transmitted.</w:t>
      </w:r>
    </w:p>
    <w:p w14:paraId="52D40781" w14:textId="77777777" w:rsidR="00AE6271" w:rsidRDefault="00000000">
      <w:pPr>
        <w:keepNext/>
        <w:spacing w:before="160" w:after="40"/>
        <w:jc w:val="center"/>
      </w:pPr>
      <w:r>
        <w:rPr>
          <w:noProof/>
        </w:rPr>
        <w:lastRenderedPageBreak/>
        <w:drawing>
          <wp:inline distT="0" distB="0" distL="0" distR="0" wp14:anchorId="5A0A35B4" wp14:editId="54BB1E32">
            <wp:extent cx="5760720" cy="4620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2"/>
                    <a:stretch>
                      <a:fillRect/>
                    </a:stretch>
                  </pic:blipFill>
                  <pic:spPr>
                    <a:xfrm>
                      <a:off x="0" y="0"/>
                      <a:ext cx="5760720" cy="4620495"/>
                    </a:xfrm>
                    <a:prstGeom prst="rect">
                      <a:avLst/>
                    </a:prstGeom>
                  </pic:spPr>
                </pic:pic>
              </a:graphicData>
            </a:graphic>
          </wp:inline>
        </w:drawing>
      </w:r>
    </w:p>
    <w:p w14:paraId="2B30B3B6" w14:textId="77777777" w:rsidR="00AE6271" w:rsidRDefault="00000000">
      <w:pPr>
        <w:spacing w:before="40" w:after="240"/>
        <w:jc w:val="center"/>
      </w:pPr>
      <w:r>
        <w:rPr>
          <w:i/>
          <w:color w:val="595959"/>
          <w:sz w:val="22"/>
        </w:rPr>
        <w:t>Fig. 2. Fed-PhenoGraft system architecture.</w:t>
      </w:r>
    </w:p>
    <w:p w14:paraId="066B0A6A" w14:textId="77777777" w:rsidR="00AE6271" w:rsidRDefault="00000000">
      <w:pPr>
        <w:keepNext/>
        <w:spacing w:before="280" w:after="160" w:line="360" w:lineRule="auto"/>
      </w:pPr>
      <w:r>
        <w:rPr>
          <w:b/>
          <w:color w:val="000000"/>
          <w:sz w:val="26"/>
        </w:rPr>
        <w:t>4.2 Design</w:t>
      </w:r>
    </w:p>
    <w:p w14:paraId="537B27F3" w14:textId="77777777" w:rsidR="00AE6271" w:rsidRDefault="00000000">
      <w:pPr>
        <w:keepNext/>
        <w:spacing w:before="280" w:after="160" w:line="360" w:lineRule="auto"/>
      </w:pPr>
      <w:r>
        <w:rPr>
          <w:b/>
          <w:i/>
          <w:color w:val="000000"/>
        </w:rPr>
        <w:t>4.2.1 Data Flow Diagram</w:t>
      </w:r>
    </w:p>
    <w:p w14:paraId="36B86BE5" w14:textId="77777777" w:rsidR="00AE6271" w:rsidRDefault="00000000">
      <w:pPr>
        <w:spacing w:after="120" w:line="276" w:lineRule="auto"/>
        <w:jc w:val="both"/>
      </w:pPr>
      <w:r>
        <w:rPr>
          <w:color w:val="000000"/>
        </w:rPr>
        <w:t>Fig. 3 gives the context-level view. The system exchanges data with two external entities: the PPMI/IDA-LONI repository, which supplies the multimodal records, and the research team, which supplies configuration and receives predictions, metrics and figures.</w:t>
      </w:r>
    </w:p>
    <w:p w14:paraId="5C100921" w14:textId="77777777" w:rsidR="00AE6271" w:rsidRDefault="00000000">
      <w:pPr>
        <w:keepNext/>
        <w:spacing w:before="160" w:after="40"/>
        <w:jc w:val="center"/>
      </w:pPr>
      <w:r>
        <w:rPr>
          <w:noProof/>
        </w:rPr>
        <w:drawing>
          <wp:inline distT="0" distB="0" distL="0" distR="0" wp14:anchorId="29823BE8" wp14:editId="044101A9">
            <wp:extent cx="5120640" cy="2064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3"/>
                    <a:stretch>
                      <a:fillRect/>
                    </a:stretch>
                  </pic:blipFill>
                  <pic:spPr>
                    <a:xfrm>
                      <a:off x="0" y="0"/>
                      <a:ext cx="5120640" cy="2064105"/>
                    </a:xfrm>
                    <a:prstGeom prst="rect">
                      <a:avLst/>
                    </a:prstGeom>
                  </pic:spPr>
                </pic:pic>
              </a:graphicData>
            </a:graphic>
          </wp:inline>
        </w:drawing>
      </w:r>
    </w:p>
    <w:p w14:paraId="6E3B2821" w14:textId="77777777" w:rsidR="00AE6271" w:rsidRDefault="00000000">
      <w:pPr>
        <w:spacing w:before="40" w:after="240"/>
        <w:jc w:val="center"/>
      </w:pPr>
      <w:r>
        <w:rPr>
          <w:i/>
          <w:color w:val="595959"/>
          <w:sz w:val="22"/>
        </w:rPr>
        <w:t>Fig. 3. Data flow diagram - level 0 (context).</w:t>
      </w:r>
    </w:p>
    <w:p w14:paraId="6E7F5E77" w14:textId="77777777" w:rsidR="00AE6271" w:rsidRDefault="00000000">
      <w:pPr>
        <w:spacing w:after="120" w:line="276" w:lineRule="auto"/>
        <w:jc w:val="both"/>
      </w:pPr>
      <w:r>
        <w:rPr>
          <w:color w:val="000000"/>
        </w:rPr>
        <w:lastRenderedPageBreak/>
        <w:t>Fig. 4 decomposes the system into five processes and four data stores. Process 1.0 loads and engineers the modality features; process 2.0 aligns, splits and preprocesses them under train-only statistics; process 3.0 trains the baseline suite by cross-validation; process 4.0 performs federated training with early stopping; and process 5.0 evaluates, ablates and explains the resulting models. Data store D1 holds the raw downloads, D2 the processed features, D3 the model weights and D4 the results and figures.</w:t>
      </w:r>
    </w:p>
    <w:p w14:paraId="2757EB66" w14:textId="77777777" w:rsidR="00AE6271" w:rsidRDefault="00000000">
      <w:pPr>
        <w:keepNext/>
        <w:spacing w:before="160" w:after="40"/>
        <w:jc w:val="center"/>
      </w:pPr>
      <w:r>
        <w:rPr>
          <w:noProof/>
        </w:rPr>
        <w:drawing>
          <wp:inline distT="0" distB="0" distL="0" distR="0" wp14:anchorId="4CE963B8" wp14:editId="30A373F2">
            <wp:extent cx="5760720" cy="3519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4"/>
                    <a:stretch>
                      <a:fillRect/>
                    </a:stretch>
                  </pic:blipFill>
                  <pic:spPr>
                    <a:xfrm>
                      <a:off x="0" y="0"/>
                      <a:ext cx="5760720" cy="3519998"/>
                    </a:xfrm>
                    <a:prstGeom prst="rect">
                      <a:avLst/>
                    </a:prstGeom>
                  </pic:spPr>
                </pic:pic>
              </a:graphicData>
            </a:graphic>
          </wp:inline>
        </w:drawing>
      </w:r>
    </w:p>
    <w:p w14:paraId="72EE7EBE" w14:textId="77777777" w:rsidR="00AE6271" w:rsidRDefault="00000000">
      <w:pPr>
        <w:spacing w:before="40" w:after="240"/>
        <w:jc w:val="center"/>
      </w:pPr>
      <w:r>
        <w:rPr>
          <w:i/>
          <w:color w:val="595959"/>
          <w:sz w:val="22"/>
        </w:rPr>
        <w:t>Fig. 4. Data flow diagram - level 1.</w:t>
      </w:r>
    </w:p>
    <w:p w14:paraId="4281454C" w14:textId="77777777" w:rsidR="00AE6271" w:rsidRDefault="00000000">
      <w:pPr>
        <w:keepNext/>
        <w:spacing w:before="280" w:after="160" w:line="360" w:lineRule="auto"/>
      </w:pPr>
      <w:r>
        <w:rPr>
          <w:b/>
          <w:i/>
          <w:color w:val="000000"/>
        </w:rPr>
        <w:t>4.2.2 Use Case Diagram</w:t>
      </w:r>
    </w:p>
    <w:p w14:paraId="744C3B44" w14:textId="77777777" w:rsidR="00AE6271" w:rsidRDefault="00000000">
      <w:pPr>
        <w:spacing w:after="120" w:line="276" w:lineRule="auto"/>
        <w:jc w:val="both"/>
      </w:pPr>
      <w:r>
        <w:rPr>
          <w:color w:val="000000"/>
        </w:rPr>
        <w:t>Fig. 5 identifies four actors. The researcher drives dataset preparation, configuration, training, benchmarking and evaluation. A clinical site participates as a FedAvg client, contributing local training without releasing its records. The federated server coordinates the rounds and aggregates weights. The reviewer or faculty guide consumes the generated explanations and report. Note that training necessarily precedes the single held-out evaluation, which the protocol permits exactly once.</w:t>
      </w:r>
    </w:p>
    <w:p w14:paraId="2B8A848F" w14:textId="77777777" w:rsidR="00AE6271" w:rsidRDefault="00000000">
      <w:pPr>
        <w:keepNext/>
        <w:spacing w:before="160" w:after="40"/>
        <w:jc w:val="center"/>
      </w:pPr>
      <w:r>
        <w:rPr>
          <w:noProof/>
        </w:rPr>
        <w:lastRenderedPageBreak/>
        <w:drawing>
          <wp:inline distT="0" distB="0" distL="0" distR="0" wp14:anchorId="09A3C630" wp14:editId="6AF6C68C">
            <wp:extent cx="5394960" cy="39540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5"/>
                    <a:stretch>
                      <a:fillRect/>
                    </a:stretch>
                  </pic:blipFill>
                  <pic:spPr>
                    <a:xfrm>
                      <a:off x="0" y="0"/>
                      <a:ext cx="5394960" cy="3954023"/>
                    </a:xfrm>
                    <a:prstGeom prst="rect">
                      <a:avLst/>
                    </a:prstGeom>
                  </pic:spPr>
                </pic:pic>
              </a:graphicData>
            </a:graphic>
          </wp:inline>
        </w:drawing>
      </w:r>
    </w:p>
    <w:p w14:paraId="7C0C284E" w14:textId="77777777" w:rsidR="00AE6271" w:rsidRDefault="00000000">
      <w:pPr>
        <w:spacing w:before="40" w:after="240"/>
        <w:jc w:val="center"/>
      </w:pPr>
      <w:r>
        <w:rPr>
          <w:i/>
          <w:color w:val="595959"/>
          <w:sz w:val="22"/>
        </w:rPr>
        <w:t>Fig. 5. Use case diagram.</w:t>
      </w:r>
    </w:p>
    <w:p w14:paraId="797327AD" w14:textId="77777777" w:rsidR="00AE6271" w:rsidRDefault="00000000">
      <w:pPr>
        <w:keepNext/>
        <w:spacing w:before="280" w:after="160" w:line="360" w:lineRule="auto"/>
      </w:pPr>
      <w:r>
        <w:rPr>
          <w:b/>
          <w:i/>
          <w:color w:val="000000"/>
        </w:rPr>
        <w:t>4.2.3 Class Diagram</w:t>
      </w:r>
    </w:p>
    <w:p w14:paraId="51C6150D" w14:textId="77777777" w:rsidR="00AE6271" w:rsidRDefault="00000000">
      <w:pPr>
        <w:spacing w:after="120" w:line="276" w:lineRule="auto"/>
        <w:jc w:val="both"/>
      </w:pPr>
      <w:r>
        <w:rPr>
          <w:color w:val="000000"/>
        </w:rPr>
        <w:t>Fig. 6 shows the principal classes. FedPhenoGraft is composed of three components: SharedPrivateEncoder, instantiated once per auxiliary modality; AsymmetricCrossAttention, which wraps a multi-head attention block with a residual connection and layer normalisation; and HSICLoss, which computes the RBF-kernel independence criterion. FederatedPPMIDataset supplies batches together with per-modality mask flags, ModalityPreprocessor holds the train-fitted imputer and scalers, and FedAvgOrchestrator drives the training rounds.</w:t>
      </w:r>
    </w:p>
    <w:p w14:paraId="372281A5" w14:textId="77777777" w:rsidR="00AE6271" w:rsidRDefault="00000000">
      <w:pPr>
        <w:keepNext/>
        <w:spacing w:before="160" w:after="40"/>
        <w:jc w:val="center"/>
      </w:pPr>
      <w:r>
        <w:rPr>
          <w:noProof/>
        </w:rPr>
        <w:lastRenderedPageBreak/>
        <w:drawing>
          <wp:inline distT="0" distB="0" distL="0" distR="0" wp14:anchorId="182BE205" wp14:editId="668AA8B7">
            <wp:extent cx="5760720" cy="36431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6"/>
                    <a:stretch>
                      <a:fillRect/>
                    </a:stretch>
                  </pic:blipFill>
                  <pic:spPr>
                    <a:xfrm>
                      <a:off x="0" y="0"/>
                      <a:ext cx="5760720" cy="3643159"/>
                    </a:xfrm>
                    <a:prstGeom prst="rect">
                      <a:avLst/>
                    </a:prstGeom>
                  </pic:spPr>
                </pic:pic>
              </a:graphicData>
            </a:graphic>
          </wp:inline>
        </w:drawing>
      </w:r>
    </w:p>
    <w:p w14:paraId="41D45C53" w14:textId="77777777" w:rsidR="00AE6271" w:rsidRDefault="00000000">
      <w:pPr>
        <w:spacing w:before="40" w:after="240"/>
        <w:jc w:val="center"/>
      </w:pPr>
      <w:r>
        <w:rPr>
          <w:i/>
          <w:color w:val="595959"/>
          <w:sz w:val="22"/>
        </w:rPr>
        <w:t>Fig. 6. Class diagram.</w:t>
      </w:r>
    </w:p>
    <w:p w14:paraId="0AE6BDA3" w14:textId="77777777" w:rsidR="00AE6271" w:rsidRDefault="00000000">
      <w:pPr>
        <w:keepNext/>
        <w:spacing w:before="280" w:after="160" w:line="360" w:lineRule="auto"/>
      </w:pPr>
      <w:r>
        <w:rPr>
          <w:b/>
          <w:i/>
          <w:color w:val="000000"/>
        </w:rPr>
        <w:t>4.2.4 Sequence Diagram</w:t>
      </w:r>
    </w:p>
    <w:p w14:paraId="5105D5C1" w14:textId="77777777" w:rsidR="00AE6271" w:rsidRDefault="00000000">
      <w:pPr>
        <w:spacing w:after="120" w:line="276" w:lineRule="auto"/>
        <w:jc w:val="both"/>
      </w:pPr>
      <w:r>
        <w:rPr>
          <w:color w:val="000000"/>
        </w:rPr>
        <w:t>Fig. 7 traces a single federated round. The orchestrator broadcasts the global weights; each client trains its local copy for two epochs under the combined regression, classification and HSIC loss; the updated weights are returned with the client's sample count and averaged in proportion to it; the aggregated model is evaluated on the validation set; and the round either improves the best recorded score, in which case the weights are stored, or decrements the patience counter, which on reaching zero restores the best weights and terminates training.</w:t>
      </w:r>
    </w:p>
    <w:p w14:paraId="67E62826" w14:textId="77777777" w:rsidR="00AE6271" w:rsidRDefault="00000000">
      <w:pPr>
        <w:keepNext/>
        <w:spacing w:before="160" w:after="40"/>
        <w:jc w:val="center"/>
      </w:pPr>
      <w:r>
        <w:rPr>
          <w:noProof/>
        </w:rPr>
        <w:lastRenderedPageBreak/>
        <w:drawing>
          <wp:inline distT="0" distB="0" distL="0" distR="0" wp14:anchorId="70775895" wp14:editId="2D8E3FBF">
            <wp:extent cx="5760720" cy="36431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7"/>
                    <a:stretch>
                      <a:fillRect/>
                    </a:stretch>
                  </pic:blipFill>
                  <pic:spPr>
                    <a:xfrm>
                      <a:off x="0" y="0"/>
                      <a:ext cx="5760720" cy="3643159"/>
                    </a:xfrm>
                    <a:prstGeom prst="rect">
                      <a:avLst/>
                    </a:prstGeom>
                  </pic:spPr>
                </pic:pic>
              </a:graphicData>
            </a:graphic>
          </wp:inline>
        </w:drawing>
      </w:r>
    </w:p>
    <w:p w14:paraId="039F2E3F" w14:textId="77777777" w:rsidR="00AE6271" w:rsidRDefault="00000000">
      <w:pPr>
        <w:spacing w:before="40" w:after="240"/>
        <w:jc w:val="center"/>
      </w:pPr>
      <w:r>
        <w:rPr>
          <w:i/>
          <w:color w:val="595959"/>
          <w:sz w:val="22"/>
        </w:rPr>
        <w:t>Fig. 7. Sequence diagram - one federated averaging round.</w:t>
      </w:r>
    </w:p>
    <w:p w14:paraId="0CBDE4B5" w14:textId="77777777" w:rsidR="00AE6271" w:rsidRDefault="00000000">
      <w:pPr>
        <w:keepNext/>
        <w:spacing w:before="280" w:after="160" w:line="360" w:lineRule="auto"/>
      </w:pPr>
      <w:r>
        <w:rPr>
          <w:b/>
          <w:color w:val="000000"/>
          <w:sz w:val="26"/>
        </w:rPr>
        <w:t>4.3 Implementation and Preliminary Results</w:t>
      </w:r>
    </w:p>
    <w:p w14:paraId="6BFBA19C" w14:textId="77777777" w:rsidR="00AE6271" w:rsidRDefault="00000000">
      <w:pPr>
        <w:spacing w:after="120" w:line="276" w:lineRule="auto"/>
        <w:jc w:val="both"/>
      </w:pPr>
      <w:r>
        <w:rPr>
          <w:color w:val="000000"/>
        </w:rPr>
        <w:t>Although Project-I is scoped to design, the pipeline has been implemented and executed end to end. This section reports the results of that run so that the design decisions above can be assessed against evidence.</w:t>
      </w:r>
    </w:p>
    <w:p w14:paraId="2F73BDCE" w14:textId="77777777" w:rsidR="00AE6271" w:rsidRDefault="00000000">
      <w:pPr>
        <w:spacing w:after="120" w:line="276" w:lineRule="auto"/>
        <w:jc w:val="both"/>
      </w:pPr>
      <w:r>
        <w:rPr>
          <w:color w:val="000000"/>
        </w:rPr>
        <w:t>Cohort. Starting from 8,679 PPMI participants, subjects were retained only where both a baseline and a year-two MDS-UPDRS Part III score exist, giving 3,472 subjects of whom 1,217 (35.1 per cent) are PD cases. No label was imputed. The progression target has a mean of +0.62 points and a standard deviation of 6.83, spanning -37 to +35, which sets the difficulty of the regression task.</w:t>
      </w:r>
    </w:p>
    <w:tbl>
      <w:tblPr>
        <w:tblStyle w:val="TableGrid"/>
        <w:tblW w:w="0" w:type="auto"/>
        <w:jc w:val="center"/>
        <w:tblLayout w:type="fixed"/>
        <w:tblLook w:val="04A0" w:firstRow="1" w:lastRow="0" w:firstColumn="1" w:lastColumn="0" w:noHBand="0" w:noVBand="1"/>
      </w:tblPr>
      <w:tblGrid>
        <w:gridCol w:w="1656"/>
        <w:gridCol w:w="720"/>
        <w:gridCol w:w="3096"/>
        <w:gridCol w:w="1224"/>
        <w:gridCol w:w="2448"/>
      </w:tblGrid>
      <w:tr w:rsidR="00AE6271" w14:paraId="397EB3EC" w14:textId="77777777">
        <w:trPr>
          <w:jc w:val="center"/>
        </w:trPr>
        <w:tc>
          <w:tcPr>
            <w:tcW w:w="1656" w:type="dxa"/>
            <w:shd w:val="clear" w:color="auto" w:fill="D9E2F3"/>
          </w:tcPr>
          <w:p w14:paraId="0645637A" w14:textId="77777777" w:rsidR="00AE6271" w:rsidRDefault="00000000">
            <w:pPr>
              <w:spacing w:before="20" w:after="20"/>
            </w:pPr>
            <w:r>
              <w:rPr>
                <w:b/>
                <w:color w:val="000000"/>
                <w:sz w:val="18"/>
              </w:rPr>
              <w:t>Modality</w:t>
            </w:r>
          </w:p>
        </w:tc>
        <w:tc>
          <w:tcPr>
            <w:tcW w:w="720" w:type="dxa"/>
            <w:shd w:val="clear" w:color="auto" w:fill="D9E2F3"/>
          </w:tcPr>
          <w:p w14:paraId="2F05F86B" w14:textId="77777777" w:rsidR="00AE6271" w:rsidRDefault="00000000">
            <w:pPr>
              <w:spacing w:before="20" w:after="20"/>
            </w:pPr>
            <w:r>
              <w:rPr>
                <w:b/>
                <w:color w:val="000000"/>
                <w:sz w:val="18"/>
              </w:rPr>
              <w:t>Dim.</w:t>
            </w:r>
          </w:p>
        </w:tc>
        <w:tc>
          <w:tcPr>
            <w:tcW w:w="3096" w:type="dxa"/>
            <w:shd w:val="clear" w:color="auto" w:fill="D9E2F3"/>
          </w:tcPr>
          <w:p w14:paraId="1317E416" w14:textId="77777777" w:rsidR="00AE6271" w:rsidRDefault="00000000">
            <w:pPr>
              <w:spacing w:before="20" w:after="20"/>
            </w:pPr>
            <w:r>
              <w:rPr>
                <w:b/>
                <w:color w:val="000000"/>
                <w:sz w:val="18"/>
              </w:rPr>
              <w:t>Features</w:t>
            </w:r>
          </w:p>
        </w:tc>
        <w:tc>
          <w:tcPr>
            <w:tcW w:w="1224" w:type="dxa"/>
            <w:shd w:val="clear" w:color="auto" w:fill="D9E2F3"/>
          </w:tcPr>
          <w:p w14:paraId="1695D0D9" w14:textId="77777777" w:rsidR="00AE6271" w:rsidRDefault="00000000">
            <w:pPr>
              <w:spacing w:before="20" w:after="20"/>
            </w:pPr>
            <w:r>
              <w:rPr>
                <w:b/>
                <w:color w:val="000000"/>
                <w:sz w:val="18"/>
              </w:rPr>
              <w:t>Missing</w:t>
            </w:r>
          </w:p>
        </w:tc>
        <w:tc>
          <w:tcPr>
            <w:tcW w:w="2448" w:type="dxa"/>
            <w:shd w:val="clear" w:color="auto" w:fill="D9E2F3"/>
          </w:tcPr>
          <w:p w14:paraId="0C79D8CC" w14:textId="77777777" w:rsidR="00AE6271" w:rsidRDefault="00000000">
            <w:pPr>
              <w:spacing w:before="20" w:after="20"/>
            </w:pPr>
            <w:r>
              <w:rPr>
                <w:b/>
                <w:color w:val="000000"/>
                <w:sz w:val="18"/>
              </w:rPr>
              <w:t>Source</w:t>
            </w:r>
          </w:p>
        </w:tc>
      </w:tr>
      <w:tr w:rsidR="00AE6271" w14:paraId="44B697F8" w14:textId="77777777">
        <w:trPr>
          <w:jc w:val="center"/>
        </w:trPr>
        <w:tc>
          <w:tcPr>
            <w:tcW w:w="1656" w:type="dxa"/>
          </w:tcPr>
          <w:p w14:paraId="4CC925D9" w14:textId="77777777" w:rsidR="00AE6271" w:rsidRDefault="00000000">
            <w:pPr>
              <w:spacing w:before="20" w:after="20"/>
            </w:pPr>
            <w:r>
              <w:rPr>
                <w:color w:val="000000"/>
                <w:sz w:val="18"/>
              </w:rPr>
              <w:t>Clinical</w:t>
            </w:r>
          </w:p>
        </w:tc>
        <w:tc>
          <w:tcPr>
            <w:tcW w:w="720" w:type="dxa"/>
          </w:tcPr>
          <w:p w14:paraId="5BBDC9C0" w14:textId="77777777" w:rsidR="00AE6271" w:rsidRDefault="00000000">
            <w:pPr>
              <w:spacing w:before="20" w:after="20"/>
            </w:pPr>
            <w:r>
              <w:rPr>
                <w:color w:val="000000"/>
                <w:sz w:val="18"/>
              </w:rPr>
              <w:t>7</w:t>
            </w:r>
          </w:p>
        </w:tc>
        <w:tc>
          <w:tcPr>
            <w:tcW w:w="3096" w:type="dxa"/>
          </w:tcPr>
          <w:p w14:paraId="1AF1B560" w14:textId="77777777" w:rsidR="00AE6271" w:rsidRDefault="00000000">
            <w:pPr>
              <w:spacing w:before="20" w:after="20"/>
            </w:pPr>
            <w:r>
              <w:rPr>
                <w:color w:val="000000"/>
                <w:sz w:val="18"/>
              </w:rPr>
              <w:t>MDS-UPDRS I-IV totals, MoCA, age at visit, sex</w:t>
            </w:r>
          </w:p>
        </w:tc>
        <w:tc>
          <w:tcPr>
            <w:tcW w:w="1224" w:type="dxa"/>
          </w:tcPr>
          <w:p w14:paraId="45C7E98F" w14:textId="77777777" w:rsidR="00AE6271" w:rsidRDefault="00000000">
            <w:pPr>
              <w:spacing w:before="20" w:after="20"/>
            </w:pPr>
            <w:r>
              <w:rPr>
                <w:color w:val="000000"/>
                <w:sz w:val="18"/>
              </w:rPr>
              <w:t>0 / 3,472</w:t>
            </w:r>
          </w:p>
        </w:tc>
        <w:tc>
          <w:tcPr>
            <w:tcW w:w="2448" w:type="dxa"/>
          </w:tcPr>
          <w:p w14:paraId="2157E9F1" w14:textId="77777777" w:rsidR="00AE6271" w:rsidRDefault="00000000">
            <w:pPr>
              <w:spacing w:before="20" w:after="20"/>
            </w:pPr>
            <w:r>
              <w:rPr>
                <w:color w:val="000000"/>
                <w:sz w:val="18"/>
              </w:rPr>
              <w:t>MDS_UPDRS_Part_I-IV, MoCA, Demographics, Age_at_visit</w:t>
            </w:r>
          </w:p>
        </w:tc>
      </w:tr>
      <w:tr w:rsidR="00AE6271" w14:paraId="52E544E6" w14:textId="77777777">
        <w:trPr>
          <w:jc w:val="center"/>
        </w:trPr>
        <w:tc>
          <w:tcPr>
            <w:tcW w:w="1656" w:type="dxa"/>
          </w:tcPr>
          <w:p w14:paraId="2BF0E1A2" w14:textId="77777777" w:rsidR="00AE6271" w:rsidRDefault="00000000">
            <w:pPr>
              <w:spacing w:before="20" w:after="20"/>
            </w:pPr>
            <w:r>
              <w:rPr>
                <w:color w:val="000000"/>
                <w:sz w:val="18"/>
              </w:rPr>
              <w:t>Structural MRI</w:t>
            </w:r>
          </w:p>
        </w:tc>
        <w:tc>
          <w:tcPr>
            <w:tcW w:w="720" w:type="dxa"/>
          </w:tcPr>
          <w:p w14:paraId="530CC3D7" w14:textId="77777777" w:rsidR="00AE6271" w:rsidRDefault="00000000">
            <w:pPr>
              <w:spacing w:before="20" w:after="20"/>
            </w:pPr>
            <w:r>
              <w:rPr>
                <w:color w:val="000000"/>
                <w:sz w:val="18"/>
              </w:rPr>
              <w:t>100</w:t>
            </w:r>
          </w:p>
        </w:tc>
        <w:tc>
          <w:tcPr>
            <w:tcW w:w="3096" w:type="dxa"/>
          </w:tcPr>
          <w:p w14:paraId="2BC1ED97" w14:textId="77777777" w:rsidR="00AE6271" w:rsidRDefault="00000000">
            <w:pPr>
              <w:spacing w:before="20" w:after="20"/>
            </w:pPr>
            <w:r>
              <w:rPr>
                <w:color w:val="000000"/>
                <w:sz w:val="18"/>
              </w:rPr>
              <w:t>Schaefer-100 ROI signals (synthetic placeholder)</w:t>
            </w:r>
          </w:p>
        </w:tc>
        <w:tc>
          <w:tcPr>
            <w:tcW w:w="1224" w:type="dxa"/>
          </w:tcPr>
          <w:p w14:paraId="49C49591" w14:textId="77777777" w:rsidR="00AE6271" w:rsidRDefault="00000000">
            <w:pPr>
              <w:spacing w:before="20" w:after="20"/>
            </w:pPr>
            <w:r>
              <w:rPr>
                <w:color w:val="000000"/>
                <w:sz w:val="18"/>
              </w:rPr>
              <w:t>669 / 3,472</w:t>
            </w:r>
          </w:p>
        </w:tc>
        <w:tc>
          <w:tcPr>
            <w:tcW w:w="2448" w:type="dxa"/>
          </w:tcPr>
          <w:p w14:paraId="15AAC21B" w14:textId="77777777" w:rsidR="00AE6271" w:rsidRDefault="00000000">
            <w:pPr>
              <w:spacing w:before="20" w:after="20"/>
            </w:pPr>
            <w:r>
              <w:rPr>
                <w:color w:val="000000"/>
                <w:sz w:val="18"/>
              </w:rPr>
              <w:t>NIfTI scans pending download</w:t>
            </w:r>
          </w:p>
        </w:tc>
      </w:tr>
      <w:tr w:rsidR="00AE6271" w14:paraId="773E4850" w14:textId="77777777">
        <w:trPr>
          <w:jc w:val="center"/>
        </w:trPr>
        <w:tc>
          <w:tcPr>
            <w:tcW w:w="1656" w:type="dxa"/>
          </w:tcPr>
          <w:p w14:paraId="40910325" w14:textId="77777777" w:rsidR="00AE6271" w:rsidRDefault="00000000">
            <w:pPr>
              <w:spacing w:before="20" w:after="20"/>
            </w:pPr>
            <w:r>
              <w:rPr>
                <w:color w:val="000000"/>
                <w:sz w:val="18"/>
              </w:rPr>
              <w:t>PET / DaTScan</w:t>
            </w:r>
          </w:p>
        </w:tc>
        <w:tc>
          <w:tcPr>
            <w:tcW w:w="720" w:type="dxa"/>
          </w:tcPr>
          <w:p w14:paraId="1632893F" w14:textId="77777777" w:rsidR="00AE6271" w:rsidRDefault="00000000">
            <w:pPr>
              <w:spacing w:before="20" w:after="20"/>
            </w:pPr>
            <w:r>
              <w:rPr>
                <w:color w:val="000000"/>
                <w:sz w:val="18"/>
              </w:rPr>
              <w:t>10</w:t>
            </w:r>
          </w:p>
        </w:tc>
        <w:tc>
          <w:tcPr>
            <w:tcW w:w="3096" w:type="dxa"/>
          </w:tcPr>
          <w:p w14:paraId="2BC7F175" w14:textId="77777777" w:rsidR="00AE6271" w:rsidRDefault="00000000">
            <w:pPr>
              <w:spacing w:before="20" w:after="20"/>
            </w:pPr>
            <w:r>
              <w:rPr>
                <w:color w:val="000000"/>
                <w:sz w:val="18"/>
              </w:rPr>
              <w:t>Caudate and putamen L/R, means, asymmetry indices, striatal total, caudate-putamen ratio</w:t>
            </w:r>
          </w:p>
        </w:tc>
        <w:tc>
          <w:tcPr>
            <w:tcW w:w="1224" w:type="dxa"/>
          </w:tcPr>
          <w:p w14:paraId="3086D87E" w14:textId="77777777" w:rsidR="00AE6271" w:rsidRDefault="00000000">
            <w:pPr>
              <w:spacing w:before="20" w:after="20"/>
            </w:pPr>
            <w:r>
              <w:rPr>
                <w:color w:val="000000"/>
                <w:sz w:val="18"/>
              </w:rPr>
              <w:t>194 / 3,472</w:t>
            </w:r>
          </w:p>
        </w:tc>
        <w:tc>
          <w:tcPr>
            <w:tcW w:w="2448" w:type="dxa"/>
          </w:tcPr>
          <w:p w14:paraId="402C1C16" w14:textId="77777777" w:rsidR="00AE6271" w:rsidRDefault="00000000">
            <w:pPr>
              <w:spacing w:before="20" w:after="20"/>
            </w:pPr>
            <w:r>
              <w:rPr>
                <w:color w:val="000000"/>
                <w:sz w:val="18"/>
              </w:rPr>
              <w:t>DATScan_Analysis.csv</w:t>
            </w:r>
          </w:p>
        </w:tc>
      </w:tr>
      <w:tr w:rsidR="00AE6271" w14:paraId="06F16D96" w14:textId="77777777">
        <w:trPr>
          <w:jc w:val="center"/>
        </w:trPr>
        <w:tc>
          <w:tcPr>
            <w:tcW w:w="1656" w:type="dxa"/>
          </w:tcPr>
          <w:p w14:paraId="2B691A7A" w14:textId="77777777" w:rsidR="00AE6271" w:rsidRDefault="00000000">
            <w:pPr>
              <w:spacing w:before="20" w:after="20"/>
            </w:pPr>
            <w:r>
              <w:rPr>
                <w:color w:val="000000"/>
                <w:sz w:val="18"/>
              </w:rPr>
              <w:t>Genetics</w:t>
            </w:r>
          </w:p>
        </w:tc>
        <w:tc>
          <w:tcPr>
            <w:tcW w:w="720" w:type="dxa"/>
          </w:tcPr>
          <w:p w14:paraId="7A298612" w14:textId="77777777" w:rsidR="00AE6271" w:rsidRDefault="00000000">
            <w:pPr>
              <w:spacing w:before="20" w:after="20"/>
            </w:pPr>
            <w:r>
              <w:rPr>
                <w:color w:val="000000"/>
                <w:sz w:val="18"/>
              </w:rPr>
              <w:t>9</w:t>
            </w:r>
          </w:p>
        </w:tc>
        <w:tc>
          <w:tcPr>
            <w:tcW w:w="3096" w:type="dxa"/>
          </w:tcPr>
          <w:p w14:paraId="260952E2" w14:textId="77777777" w:rsidR="00AE6271" w:rsidRDefault="00000000">
            <w:pPr>
              <w:spacing w:before="20" w:after="20"/>
            </w:pPr>
            <w:r>
              <w:rPr>
                <w:color w:val="000000"/>
                <w:sz w:val="18"/>
              </w:rPr>
              <w:t>LRRK2, GBA, SNCA, PINK1, PRKN, APOE-e4, plus derived flags</w:t>
            </w:r>
          </w:p>
        </w:tc>
        <w:tc>
          <w:tcPr>
            <w:tcW w:w="1224" w:type="dxa"/>
          </w:tcPr>
          <w:p w14:paraId="4EBD62C5" w14:textId="77777777" w:rsidR="00AE6271" w:rsidRDefault="00000000">
            <w:pPr>
              <w:spacing w:before="20" w:after="20"/>
            </w:pPr>
            <w:r>
              <w:rPr>
                <w:color w:val="000000"/>
                <w:sz w:val="18"/>
              </w:rPr>
              <w:t>2,718 / 3,472</w:t>
            </w:r>
          </w:p>
        </w:tc>
        <w:tc>
          <w:tcPr>
            <w:tcW w:w="2448" w:type="dxa"/>
          </w:tcPr>
          <w:p w14:paraId="52830205" w14:textId="77777777" w:rsidR="00AE6271" w:rsidRDefault="00000000">
            <w:pPr>
              <w:spacing w:before="20" w:after="20"/>
            </w:pPr>
            <w:r>
              <w:rPr>
                <w:color w:val="000000"/>
                <w:sz w:val="18"/>
              </w:rPr>
              <w:t>Genetic_Testing_Results.csv</w:t>
            </w:r>
          </w:p>
        </w:tc>
      </w:tr>
    </w:tbl>
    <w:p w14:paraId="7705B8F4" w14:textId="77777777" w:rsidR="00AE6271" w:rsidRDefault="00000000">
      <w:pPr>
        <w:spacing w:before="40" w:after="240"/>
        <w:jc w:val="center"/>
      </w:pPr>
      <w:r>
        <w:rPr>
          <w:i/>
          <w:color w:val="595959"/>
          <w:sz w:val="22"/>
        </w:rPr>
        <w:t>Table 4. Feature blocks, provenance and missingness.</w:t>
      </w:r>
    </w:p>
    <w:tbl>
      <w:tblPr>
        <w:tblStyle w:val="TableGrid"/>
        <w:tblW w:w="0" w:type="auto"/>
        <w:jc w:val="center"/>
        <w:tblLayout w:type="fixed"/>
        <w:tblLook w:val="04A0" w:firstRow="1" w:lastRow="0" w:firstColumn="1" w:lastColumn="0" w:noHBand="0" w:noVBand="1"/>
      </w:tblPr>
      <w:tblGrid>
        <w:gridCol w:w="2232"/>
        <w:gridCol w:w="2304"/>
        <w:gridCol w:w="2160"/>
        <w:gridCol w:w="2448"/>
      </w:tblGrid>
      <w:tr w:rsidR="00AE6271" w14:paraId="20FCB94D" w14:textId="77777777">
        <w:trPr>
          <w:jc w:val="center"/>
        </w:trPr>
        <w:tc>
          <w:tcPr>
            <w:tcW w:w="2232" w:type="dxa"/>
            <w:shd w:val="clear" w:color="auto" w:fill="D9E2F3"/>
          </w:tcPr>
          <w:p w14:paraId="319561F3" w14:textId="77777777" w:rsidR="00AE6271" w:rsidRDefault="00000000">
            <w:pPr>
              <w:spacing w:before="20" w:after="20"/>
            </w:pPr>
            <w:r>
              <w:rPr>
                <w:b/>
                <w:color w:val="000000"/>
                <w:sz w:val="19"/>
              </w:rPr>
              <w:t>Setting</w:t>
            </w:r>
          </w:p>
        </w:tc>
        <w:tc>
          <w:tcPr>
            <w:tcW w:w="2304" w:type="dxa"/>
            <w:shd w:val="clear" w:color="auto" w:fill="D9E2F3"/>
          </w:tcPr>
          <w:p w14:paraId="4ADB841D" w14:textId="77777777" w:rsidR="00AE6271" w:rsidRDefault="00000000">
            <w:pPr>
              <w:spacing w:before="20" w:after="20"/>
            </w:pPr>
            <w:r>
              <w:rPr>
                <w:b/>
                <w:color w:val="000000"/>
                <w:sz w:val="19"/>
              </w:rPr>
              <w:t>Value</w:t>
            </w:r>
          </w:p>
        </w:tc>
        <w:tc>
          <w:tcPr>
            <w:tcW w:w="2160" w:type="dxa"/>
            <w:shd w:val="clear" w:color="auto" w:fill="D9E2F3"/>
          </w:tcPr>
          <w:p w14:paraId="62682865" w14:textId="77777777" w:rsidR="00AE6271" w:rsidRDefault="00000000">
            <w:pPr>
              <w:spacing w:before="20" w:after="20"/>
            </w:pPr>
            <w:r>
              <w:rPr>
                <w:b/>
                <w:color w:val="000000"/>
                <w:sz w:val="19"/>
              </w:rPr>
              <w:t>Setting</w:t>
            </w:r>
          </w:p>
        </w:tc>
        <w:tc>
          <w:tcPr>
            <w:tcW w:w="2448" w:type="dxa"/>
            <w:shd w:val="clear" w:color="auto" w:fill="D9E2F3"/>
          </w:tcPr>
          <w:p w14:paraId="50E29F0E" w14:textId="77777777" w:rsidR="00AE6271" w:rsidRDefault="00000000">
            <w:pPr>
              <w:spacing w:before="20" w:after="20"/>
            </w:pPr>
            <w:r>
              <w:rPr>
                <w:b/>
                <w:color w:val="000000"/>
                <w:sz w:val="19"/>
              </w:rPr>
              <w:t>Value</w:t>
            </w:r>
          </w:p>
        </w:tc>
      </w:tr>
      <w:tr w:rsidR="00AE6271" w14:paraId="0AFA3035" w14:textId="77777777">
        <w:trPr>
          <w:jc w:val="center"/>
        </w:trPr>
        <w:tc>
          <w:tcPr>
            <w:tcW w:w="2232" w:type="dxa"/>
          </w:tcPr>
          <w:p w14:paraId="1A5D70F4" w14:textId="77777777" w:rsidR="00AE6271" w:rsidRDefault="00000000">
            <w:pPr>
              <w:spacing w:before="20" w:after="20"/>
            </w:pPr>
            <w:r>
              <w:rPr>
                <w:color w:val="000000"/>
                <w:sz w:val="19"/>
              </w:rPr>
              <w:t>Subjects</w:t>
            </w:r>
          </w:p>
        </w:tc>
        <w:tc>
          <w:tcPr>
            <w:tcW w:w="2304" w:type="dxa"/>
          </w:tcPr>
          <w:p w14:paraId="0DC2FA0A" w14:textId="77777777" w:rsidR="00AE6271" w:rsidRDefault="00000000">
            <w:pPr>
              <w:spacing w:before="20" w:after="20"/>
            </w:pPr>
            <w:r>
              <w:rPr>
                <w:color w:val="000000"/>
                <w:sz w:val="19"/>
              </w:rPr>
              <w:t>3,472</w:t>
            </w:r>
          </w:p>
        </w:tc>
        <w:tc>
          <w:tcPr>
            <w:tcW w:w="2160" w:type="dxa"/>
          </w:tcPr>
          <w:p w14:paraId="0BFF0A5B" w14:textId="77777777" w:rsidR="00AE6271" w:rsidRDefault="00000000">
            <w:pPr>
              <w:spacing w:before="20" w:after="20"/>
            </w:pPr>
            <w:r>
              <w:rPr>
                <w:color w:val="000000"/>
                <w:sz w:val="19"/>
              </w:rPr>
              <w:t>Clients</w:t>
            </w:r>
          </w:p>
        </w:tc>
        <w:tc>
          <w:tcPr>
            <w:tcW w:w="2448" w:type="dxa"/>
          </w:tcPr>
          <w:p w14:paraId="523D0BCA" w14:textId="77777777" w:rsidR="00AE6271" w:rsidRDefault="00000000">
            <w:pPr>
              <w:spacing w:before="20" w:after="20"/>
            </w:pPr>
            <w:r>
              <w:rPr>
                <w:color w:val="000000"/>
                <w:sz w:val="19"/>
              </w:rPr>
              <w:t>4, Dirichlet alpha = 0.5</w:t>
            </w:r>
          </w:p>
        </w:tc>
      </w:tr>
      <w:tr w:rsidR="00AE6271" w14:paraId="18B88553" w14:textId="77777777">
        <w:trPr>
          <w:jc w:val="center"/>
        </w:trPr>
        <w:tc>
          <w:tcPr>
            <w:tcW w:w="2232" w:type="dxa"/>
          </w:tcPr>
          <w:p w14:paraId="3B182357" w14:textId="77777777" w:rsidR="00AE6271" w:rsidRDefault="00000000">
            <w:pPr>
              <w:spacing w:before="20" w:after="20"/>
            </w:pPr>
            <w:r>
              <w:rPr>
                <w:color w:val="000000"/>
                <w:sz w:val="19"/>
              </w:rPr>
              <w:t>Split</w:t>
            </w:r>
          </w:p>
        </w:tc>
        <w:tc>
          <w:tcPr>
            <w:tcW w:w="2304" w:type="dxa"/>
          </w:tcPr>
          <w:p w14:paraId="2810A264" w14:textId="77777777" w:rsidR="00AE6271" w:rsidRDefault="00000000">
            <w:pPr>
              <w:spacing w:before="20" w:after="20"/>
            </w:pPr>
            <w:r>
              <w:rPr>
                <w:color w:val="000000"/>
                <w:sz w:val="19"/>
              </w:rPr>
              <w:t>2,430 / 521 / 521</w:t>
            </w:r>
          </w:p>
        </w:tc>
        <w:tc>
          <w:tcPr>
            <w:tcW w:w="2160" w:type="dxa"/>
          </w:tcPr>
          <w:p w14:paraId="21328B61" w14:textId="77777777" w:rsidR="00AE6271" w:rsidRDefault="00000000">
            <w:pPr>
              <w:spacing w:before="20" w:after="20"/>
            </w:pPr>
            <w:r>
              <w:rPr>
                <w:color w:val="000000"/>
                <w:sz w:val="19"/>
              </w:rPr>
              <w:t>Rounds</w:t>
            </w:r>
          </w:p>
        </w:tc>
        <w:tc>
          <w:tcPr>
            <w:tcW w:w="2448" w:type="dxa"/>
          </w:tcPr>
          <w:p w14:paraId="2B19D2CB" w14:textId="77777777" w:rsidR="00AE6271" w:rsidRDefault="00000000">
            <w:pPr>
              <w:spacing w:before="20" w:after="20"/>
            </w:pPr>
            <w:r>
              <w:rPr>
                <w:color w:val="000000"/>
                <w:sz w:val="19"/>
              </w:rPr>
              <w:t>30 max, patience 5</w:t>
            </w:r>
          </w:p>
        </w:tc>
      </w:tr>
      <w:tr w:rsidR="00AE6271" w14:paraId="38E53CB1" w14:textId="77777777">
        <w:trPr>
          <w:jc w:val="center"/>
        </w:trPr>
        <w:tc>
          <w:tcPr>
            <w:tcW w:w="2232" w:type="dxa"/>
          </w:tcPr>
          <w:p w14:paraId="79DF70E1" w14:textId="77777777" w:rsidR="00AE6271" w:rsidRDefault="00000000">
            <w:pPr>
              <w:spacing w:before="20" w:after="20"/>
            </w:pPr>
            <w:r>
              <w:rPr>
                <w:color w:val="000000"/>
                <w:sz w:val="19"/>
              </w:rPr>
              <w:lastRenderedPageBreak/>
              <w:t>Regression target</w:t>
            </w:r>
          </w:p>
        </w:tc>
        <w:tc>
          <w:tcPr>
            <w:tcW w:w="2304" w:type="dxa"/>
          </w:tcPr>
          <w:p w14:paraId="0BFA5CA1" w14:textId="77777777" w:rsidR="00AE6271" w:rsidRDefault="00000000">
            <w:pPr>
              <w:spacing w:before="20" w:after="20"/>
            </w:pPr>
            <w:r>
              <w:rPr>
                <w:color w:val="000000"/>
                <w:sz w:val="19"/>
              </w:rPr>
              <w:t>Delta UPDRS-III (V04 - BL)</w:t>
            </w:r>
          </w:p>
        </w:tc>
        <w:tc>
          <w:tcPr>
            <w:tcW w:w="2160" w:type="dxa"/>
          </w:tcPr>
          <w:p w14:paraId="1EC04DC1" w14:textId="77777777" w:rsidR="00AE6271" w:rsidRDefault="00000000">
            <w:pPr>
              <w:spacing w:before="20" w:after="20"/>
            </w:pPr>
            <w:r>
              <w:rPr>
                <w:color w:val="000000"/>
                <w:sz w:val="19"/>
              </w:rPr>
              <w:t>Local epochs</w:t>
            </w:r>
          </w:p>
        </w:tc>
        <w:tc>
          <w:tcPr>
            <w:tcW w:w="2448" w:type="dxa"/>
          </w:tcPr>
          <w:p w14:paraId="5273A09B" w14:textId="77777777" w:rsidR="00AE6271" w:rsidRDefault="00000000">
            <w:pPr>
              <w:spacing w:before="20" w:after="20"/>
            </w:pPr>
            <w:r>
              <w:rPr>
                <w:color w:val="000000"/>
                <w:sz w:val="19"/>
              </w:rPr>
              <w:t>2 per round</w:t>
            </w:r>
          </w:p>
        </w:tc>
      </w:tr>
      <w:tr w:rsidR="00AE6271" w14:paraId="313CAF43" w14:textId="77777777">
        <w:trPr>
          <w:jc w:val="center"/>
        </w:trPr>
        <w:tc>
          <w:tcPr>
            <w:tcW w:w="2232" w:type="dxa"/>
          </w:tcPr>
          <w:p w14:paraId="4D5618BC" w14:textId="77777777" w:rsidR="00AE6271" w:rsidRDefault="00000000">
            <w:pPr>
              <w:spacing w:before="20" w:after="20"/>
            </w:pPr>
            <w:r>
              <w:rPr>
                <w:color w:val="000000"/>
                <w:sz w:val="19"/>
              </w:rPr>
              <w:t>Classification target</w:t>
            </w:r>
          </w:p>
        </w:tc>
        <w:tc>
          <w:tcPr>
            <w:tcW w:w="2304" w:type="dxa"/>
          </w:tcPr>
          <w:p w14:paraId="7AFFB43E" w14:textId="77777777" w:rsidR="00AE6271" w:rsidRDefault="00000000">
            <w:pPr>
              <w:spacing w:before="20" w:after="20"/>
            </w:pPr>
            <w:r>
              <w:rPr>
                <w:color w:val="000000"/>
                <w:sz w:val="19"/>
              </w:rPr>
              <w:t>PD vs HC / other</w:t>
            </w:r>
          </w:p>
        </w:tc>
        <w:tc>
          <w:tcPr>
            <w:tcW w:w="2160" w:type="dxa"/>
          </w:tcPr>
          <w:p w14:paraId="3EB2A775" w14:textId="77777777" w:rsidR="00AE6271" w:rsidRDefault="00000000">
            <w:pPr>
              <w:spacing w:before="20" w:after="20"/>
            </w:pPr>
            <w:r>
              <w:rPr>
                <w:color w:val="000000"/>
                <w:sz w:val="19"/>
              </w:rPr>
              <w:t>Optimiser</w:t>
            </w:r>
          </w:p>
        </w:tc>
        <w:tc>
          <w:tcPr>
            <w:tcW w:w="2448" w:type="dxa"/>
          </w:tcPr>
          <w:p w14:paraId="66CF13EF" w14:textId="77777777" w:rsidR="00AE6271" w:rsidRDefault="00000000">
            <w:pPr>
              <w:spacing w:before="20" w:after="20"/>
            </w:pPr>
            <w:r>
              <w:rPr>
                <w:color w:val="000000"/>
                <w:sz w:val="19"/>
              </w:rPr>
              <w:t>AdamW, lr 1e-3, wd 1e-4</w:t>
            </w:r>
          </w:p>
        </w:tc>
      </w:tr>
      <w:tr w:rsidR="00AE6271" w14:paraId="50E4CA9A" w14:textId="77777777">
        <w:trPr>
          <w:jc w:val="center"/>
        </w:trPr>
        <w:tc>
          <w:tcPr>
            <w:tcW w:w="2232" w:type="dxa"/>
          </w:tcPr>
          <w:p w14:paraId="001C655A" w14:textId="77777777" w:rsidR="00AE6271" w:rsidRDefault="00000000">
            <w:pPr>
              <w:spacing w:before="20" w:after="20"/>
            </w:pPr>
            <w:r>
              <w:rPr>
                <w:color w:val="000000"/>
                <w:sz w:val="19"/>
              </w:rPr>
              <w:t>Embedding dim / heads</w:t>
            </w:r>
          </w:p>
        </w:tc>
        <w:tc>
          <w:tcPr>
            <w:tcW w:w="2304" w:type="dxa"/>
          </w:tcPr>
          <w:p w14:paraId="5C68D029" w14:textId="77777777" w:rsidR="00AE6271" w:rsidRDefault="00000000">
            <w:pPr>
              <w:spacing w:before="20" w:after="20"/>
            </w:pPr>
            <w:r>
              <w:rPr>
                <w:color w:val="000000"/>
                <w:sz w:val="19"/>
              </w:rPr>
              <w:t>32 / 4</w:t>
            </w:r>
          </w:p>
        </w:tc>
        <w:tc>
          <w:tcPr>
            <w:tcW w:w="2160" w:type="dxa"/>
          </w:tcPr>
          <w:p w14:paraId="3C06A404" w14:textId="77777777" w:rsidR="00AE6271" w:rsidRDefault="00000000">
            <w:pPr>
              <w:spacing w:before="20" w:after="20"/>
            </w:pPr>
            <w:r>
              <w:rPr>
                <w:color w:val="000000"/>
                <w:sz w:val="19"/>
              </w:rPr>
              <w:t>Gradient clip</w:t>
            </w:r>
          </w:p>
        </w:tc>
        <w:tc>
          <w:tcPr>
            <w:tcW w:w="2448" w:type="dxa"/>
          </w:tcPr>
          <w:p w14:paraId="65CEFDA0" w14:textId="77777777" w:rsidR="00AE6271" w:rsidRDefault="00000000">
            <w:pPr>
              <w:spacing w:before="20" w:after="20"/>
            </w:pPr>
            <w:r>
              <w:rPr>
                <w:color w:val="000000"/>
                <w:sz w:val="19"/>
              </w:rPr>
              <w:t>1.0</w:t>
            </w:r>
          </w:p>
        </w:tc>
      </w:tr>
      <w:tr w:rsidR="00AE6271" w14:paraId="49C32468" w14:textId="77777777">
        <w:trPr>
          <w:jc w:val="center"/>
        </w:trPr>
        <w:tc>
          <w:tcPr>
            <w:tcW w:w="2232" w:type="dxa"/>
          </w:tcPr>
          <w:p w14:paraId="743D49DD" w14:textId="77777777" w:rsidR="00AE6271" w:rsidRDefault="00000000">
            <w:pPr>
              <w:spacing w:before="20" w:after="20"/>
            </w:pPr>
            <w:r>
              <w:rPr>
                <w:color w:val="000000"/>
                <w:sz w:val="19"/>
              </w:rPr>
              <w:t>Dropout</w:t>
            </w:r>
          </w:p>
        </w:tc>
        <w:tc>
          <w:tcPr>
            <w:tcW w:w="2304" w:type="dxa"/>
          </w:tcPr>
          <w:p w14:paraId="6E478DE8" w14:textId="77777777" w:rsidR="00AE6271" w:rsidRDefault="00000000">
            <w:pPr>
              <w:spacing w:before="20" w:after="20"/>
            </w:pPr>
            <w:r>
              <w:rPr>
                <w:color w:val="000000"/>
                <w:sz w:val="19"/>
              </w:rPr>
              <w:t>0.3</w:t>
            </w:r>
          </w:p>
        </w:tc>
        <w:tc>
          <w:tcPr>
            <w:tcW w:w="2160" w:type="dxa"/>
          </w:tcPr>
          <w:p w14:paraId="4A1BE967" w14:textId="77777777" w:rsidR="00AE6271" w:rsidRDefault="00000000">
            <w:pPr>
              <w:spacing w:before="20" w:after="20"/>
            </w:pPr>
            <w:r>
              <w:rPr>
                <w:color w:val="000000"/>
                <w:sz w:val="19"/>
              </w:rPr>
              <w:t>Loss weights</w:t>
            </w:r>
          </w:p>
        </w:tc>
        <w:tc>
          <w:tcPr>
            <w:tcW w:w="2448" w:type="dxa"/>
          </w:tcPr>
          <w:p w14:paraId="2BD5F274" w14:textId="77777777" w:rsidR="00AE6271" w:rsidRDefault="00000000">
            <w:pPr>
              <w:spacing w:before="20" w:after="20"/>
            </w:pPr>
            <w:r>
              <w:rPr>
                <w:color w:val="000000"/>
                <w:sz w:val="19"/>
              </w:rPr>
              <w:t>HSIC 0.1, classification 0.3</w:t>
            </w:r>
          </w:p>
        </w:tc>
      </w:tr>
      <w:tr w:rsidR="00AE6271" w14:paraId="1220F558" w14:textId="77777777">
        <w:trPr>
          <w:jc w:val="center"/>
        </w:trPr>
        <w:tc>
          <w:tcPr>
            <w:tcW w:w="2232" w:type="dxa"/>
          </w:tcPr>
          <w:p w14:paraId="5E588292" w14:textId="77777777" w:rsidR="00AE6271" w:rsidRDefault="00000000">
            <w:pPr>
              <w:spacing w:before="20" w:after="20"/>
            </w:pPr>
            <w:r>
              <w:rPr>
                <w:color w:val="000000"/>
                <w:sz w:val="19"/>
              </w:rPr>
              <w:t>Training seeds</w:t>
            </w:r>
          </w:p>
        </w:tc>
        <w:tc>
          <w:tcPr>
            <w:tcW w:w="2304" w:type="dxa"/>
          </w:tcPr>
          <w:p w14:paraId="0495FE40" w14:textId="77777777" w:rsidR="00AE6271" w:rsidRDefault="00000000">
            <w:pPr>
              <w:spacing w:before="20" w:after="20"/>
            </w:pPr>
            <w:r>
              <w:rPr>
                <w:color w:val="000000"/>
                <w:sz w:val="19"/>
              </w:rPr>
              <w:t>3 (42, 143, 244)</w:t>
            </w:r>
          </w:p>
        </w:tc>
        <w:tc>
          <w:tcPr>
            <w:tcW w:w="2160" w:type="dxa"/>
          </w:tcPr>
          <w:p w14:paraId="09477D40" w14:textId="77777777" w:rsidR="00AE6271" w:rsidRDefault="00000000">
            <w:pPr>
              <w:spacing w:before="20" w:after="20"/>
            </w:pPr>
            <w:r>
              <w:rPr>
                <w:color w:val="000000"/>
                <w:sz w:val="19"/>
              </w:rPr>
              <w:t>Bootstrap</w:t>
            </w:r>
          </w:p>
        </w:tc>
        <w:tc>
          <w:tcPr>
            <w:tcW w:w="2448" w:type="dxa"/>
          </w:tcPr>
          <w:p w14:paraId="169CA2DF" w14:textId="77777777" w:rsidR="00AE6271" w:rsidRDefault="00000000">
            <w:pPr>
              <w:spacing w:before="20" w:after="20"/>
            </w:pPr>
            <w:r>
              <w:rPr>
                <w:color w:val="000000"/>
                <w:sz w:val="19"/>
              </w:rPr>
              <w:t>1,000 resamples, 95% CI</w:t>
            </w:r>
          </w:p>
        </w:tc>
      </w:tr>
    </w:tbl>
    <w:p w14:paraId="1570EA84" w14:textId="77777777" w:rsidR="00AE6271" w:rsidRDefault="00000000">
      <w:pPr>
        <w:spacing w:before="40" w:after="240"/>
        <w:jc w:val="center"/>
      </w:pPr>
      <w:r>
        <w:rPr>
          <w:i/>
          <w:color w:val="595959"/>
          <w:sz w:val="22"/>
        </w:rPr>
        <w:t>Table 5. Training and evaluation protocol.</w:t>
      </w:r>
    </w:p>
    <w:p w14:paraId="27E1909D" w14:textId="77777777" w:rsidR="00AE6271" w:rsidRDefault="00000000">
      <w:pPr>
        <w:spacing w:after="120" w:line="276" w:lineRule="auto"/>
        <w:jc w:val="both"/>
      </w:pPr>
      <w:r>
        <w:rPr>
          <w:color w:val="000000"/>
        </w:rPr>
        <w:t>Held-out performance. The test set was scored exactly once, after training concluded. On diagnosis the model reaches ROC-AUC 0.9816 and accuracy 0.9367 against a majority-class accuracy of 0.649. On progression it reaches a concordance correlation coefficient of 0.1469 with a bootstrap 95 per cent confidence interval of 0.0406 to 0.2439. The train-validation CCC gap of +0.139 sits below the pipeline's +0.15 overfitting threshold, and across three independent seeds the test CCC is 0.157 +/- 0.030 with test AUC 0.978 +/- 0.003.</w:t>
      </w:r>
    </w:p>
    <w:tbl>
      <w:tblPr>
        <w:tblStyle w:val="TableGrid"/>
        <w:tblW w:w="0" w:type="auto"/>
        <w:jc w:val="center"/>
        <w:tblLayout w:type="fixed"/>
        <w:tblLook w:val="04A0" w:firstRow="1" w:lastRow="0" w:firstColumn="1" w:lastColumn="0" w:noHBand="0" w:noVBand="1"/>
      </w:tblPr>
      <w:tblGrid>
        <w:gridCol w:w="1656"/>
        <w:gridCol w:w="1728"/>
        <w:gridCol w:w="1152"/>
        <w:gridCol w:w="1368"/>
        <w:gridCol w:w="1152"/>
        <w:gridCol w:w="2088"/>
      </w:tblGrid>
      <w:tr w:rsidR="00AE6271" w14:paraId="19D155D2" w14:textId="77777777">
        <w:trPr>
          <w:jc w:val="center"/>
        </w:trPr>
        <w:tc>
          <w:tcPr>
            <w:tcW w:w="1656" w:type="dxa"/>
            <w:shd w:val="clear" w:color="auto" w:fill="D9E2F3"/>
          </w:tcPr>
          <w:p w14:paraId="13759587" w14:textId="77777777" w:rsidR="00AE6271" w:rsidRDefault="00000000">
            <w:pPr>
              <w:spacing w:before="20" w:after="20"/>
            </w:pPr>
            <w:r>
              <w:rPr>
                <w:b/>
                <w:color w:val="000000"/>
                <w:sz w:val="19"/>
              </w:rPr>
              <w:t>Task</w:t>
            </w:r>
          </w:p>
        </w:tc>
        <w:tc>
          <w:tcPr>
            <w:tcW w:w="1728" w:type="dxa"/>
            <w:shd w:val="clear" w:color="auto" w:fill="D9E2F3"/>
          </w:tcPr>
          <w:p w14:paraId="20F62241" w14:textId="77777777" w:rsidR="00AE6271" w:rsidRDefault="00000000">
            <w:pPr>
              <w:spacing w:before="20" w:after="20"/>
            </w:pPr>
            <w:r>
              <w:rPr>
                <w:b/>
                <w:color w:val="000000"/>
                <w:sz w:val="19"/>
              </w:rPr>
              <w:t>Metric</w:t>
            </w:r>
          </w:p>
        </w:tc>
        <w:tc>
          <w:tcPr>
            <w:tcW w:w="1152" w:type="dxa"/>
            <w:shd w:val="clear" w:color="auto" w:fill="D9E2F3"/>
          </w:tcPr>
          <w:p w14:paraId="1D8CD2A9" w14:textId="77777777" w:rsidR="00AE6271" w:rsidRDefault="00000000">
            <w:pPr>
              <w:spacing w:before="20" w:after="20"/>
            </w:pPr>
            <w:r>
              <w:rPr>
                <w:b/>
                <w:color w:val="000000"/>
                <w:sz w:val="19"/>
              </w:rPr>
              <w:t>Train</w:t>
            </w:r>
          </w:p>
        </w:tc>
        <w:tc>
          <w:tcPr>
            <w:tcW w:w="1368" w:type="dxa"/>
            <w:shd w:val="clear" w:color="auto" w:fill="D9E2F3"/>
          </w:tcPr>
          <w:p w14:paraId="3E7A55F7" w14:textId="77777777" w:rsidR="00AE6271" w:rsidRDefault="00000000">
            <w:pPr>
              <w:spacing w:before="20" w:after="20"/>
            </w:pPr>
            <w:r>
              <w:rPr>
                <w:b/>
                <w:color w:val="000000"/>
                <w:sz w:val="19"/>
              </w:rPr>
              <w:t>Validation</w:t>
            </w:r>
          </w:p>
        </w:tc>
        <w:tc>
          <w:tcPr>
            <w:tcW w:w="1152" w:type="dxa"/>
            <w:shd w:val="clear" w:color="auto" w:fill="D9E2F3"/>
          </w:tcPr>
          <w:p w14:paraId="7640C3E3" w14:textId="77777777" w:rsidR="00AE6271" w:rsidRDefault="00000000">
            <w:pPr>
              <w:spacing w:before="20" w:after="20"/>
            </w:pPr>
            <w:r>
              <w:rPr>
                <w:b/>
                <w:color w:val="000000"/>
                <w:sz w:val="19"/>
              </w:rPr>
              <w:t>Test</w:t>
            </w:r>
          </w:p>
        </w:tc>
        <w:tc>
          <w:tcPr>
            <w:tcW w:w="2088" w:type="dxa"/>
            <w:shd w:val="clear" w:color="auto" w:fill="D9E2F3"/>
          </w:tcPr>
          <w:p w14:paraId="2DA7CF88" w14:textId="77777777" w:rsidR="00AE6271" w:rsidRDefault="00000000">
            <w:pPr>
              <w:spacing w:before="20" w:after="20"/>
            </w:pPr>
            <w:r>
              <w:rPr>
                <w:b/>
                <w:color w:val="000000"/>
                <w:sz w:val="19"/>
              </w:rPr>
              <w:t>Test 95% CI</w:t>
            </w:r>
          </w:p>
        </w:tc>
      </w:tr>
      <w:tr w:rsidR="00AE6271" w14:paraId="39AD74A5" w14:textId="77777777">
        <w:trPr>
          <w:jc w:val="center"/>
        </w:trPr>
        <w:tc>
          <w:tcPr>
            <w:tcW w:w="1656" w:type="dxa"/>
          </w:tcPr>
          <w:p w14:paraId="0ED622B9" w14:textId="77777777" w:rsidR="00AE6271" w:rsidRDefault="00000000">
            <w:pPr>
              <w:spacing w:before="20" w:after="20"/>
            </w:pPr>
            <w:r>
              <w:rPr>
                <w:color w:val="000000"/>
                <w:sz w:val="19"/>
              </w:rPr>
              <w:t>Progression</w:t>
            </w:r>
          </w:p>
        </w:tc>
        <w:tc>
          <w:tcPr>
            <w:tcW w:w="1728" w:type="dxa"/>
          </w:tcPr>
          <w:p w14:paraId="47FEC6FB" w14:textId="77777777" w:rsidR="00AE6271" w:rsidRDefault="00000000">
            <w:pPr>
              <w:spacing w:before="20" w:after="20"/>
            </w:pPr>
            <w:r>
              <w:rPr>
                <w:color w:val="000000"/>
                <w:sz w:val="19"/>
              </w:rPr>
              <w:t>CCC</w:t>
            </w:r>
          </w:p>
        </w:tc>
        <w:tc>
          <w:tcPr>
            <w:tcW w:w="1152" w:type="dxa"/>
          </w:tcPr>
          <w:p w14:paraId="142478BB" w14:textId="77777777" w:rsidR="00AE6271" w:rsidRDefault="00000000">
            <w:pPr>
              <w:spacing w:before="20" w:after="20"/>
            </w:pPr>
            <w:r>
              <w:rPr>
                <w:color w:val="000000"/>
                <w:sz w:val="19"/>
              </w:rPr>
              <w:t>0.4982</w:t>
            </w:r>
          </w:p>
        </w:tc>
        <w:tc>
          <w:tcPr>
            <w:tcW w:w="1368" w:type="dxa"/>
          </w:tcPr>
          <w:p w14:paraId="563866D6" w14:textId="77777777" w:rsidR="00AE6271" w:rsidRDefault="00000000">
            <w:pPr>
              <w:spacing w:before="20" w:after="20"/>
            </w:pPr>
            <w:r>
              <w:rPr>
                <w:color w:val="000000"/>
                <w:sz w:val="19"/>
              </w:rPr>
              <w:t>0.3591</w:t>
            </w:r>
          </w:p>
        </w:tc>
        <w:tc>
          <w:tcPr>
            <w:tcW w:w="1152" w:type="dxa"/>
          </w:tcPr>
          <w:p w14:paraId="4CCE15D4" w14:textId="77777777" w:rsidR="00AE6271" w:rsidRDefault="00000000">
            <w:pPr>
              <w:spacing w:before="20" w:after="20"/>
            </w:pPr>
            <w:r>
              <w:rPr>
                <w:color w:val="000000"/>
                <w:sz w:val="19"/>
              </w:rPr>
              <w:t>0.1469</w:t>
            </w:r>
          </w:p>
        </w:tc>
        <w:tc>
          <w:tcPr>
            <w:tcW w:w="2088" w:type="dxa"/>
          </w:tcPr>
          <w:p w14:paraId="19284A0C" w14:textId="77777777" w:rsidR="00AE6271" w:rsidRDefault="00000000">
            <w:pPr>
              <w:spacing w:before="20" w:after="20"/>
            </w:pPr>
            <w:r>
              <w:rPr>
                <w:color w:val="000000"/>
                <w:sz w:val="19"/>
              </w:rPr>
              <w:t>0.0406 - 0.2439</w:t>
            </w:r>
          </w:p>
        </w:tc>
      </w:tr>
      <w:tr w:rsidR="00AE6271" w14:paraId="630519DC" w14:textId="77777777">
        <w:trPr>
          <w:jc w:val="center"/>
        </w:trPr>
        <w:tc>
          <w:tcPr>
            <w:tcW w:w="1656" w:type="dxa"/>
          </w:tcPr>
          <w:p w14:paraId="4E609FF4" w14:textId="77777777" w:rsidR="00AE6271" w:rsidRDefault="00000000">
            <w:pPr>
              <w:spacing w:before="20" w:after="20"/>
            </w:pPr>
            <w:r>
              <w:rPr>
                <w:color w:val="000000"/>
                <w:sz w:val="19"/>
              </w:rPr>
              <w:t>Progression</w:t>
            </w:r>
          </w:p>
        </w:tc>
        <w:tc>
          <w:tcPr>
            <w:tcW w:w="1728" w:type="dxa"/>
          </w:tcPr>
          <w:p w14:paraId="6BE52E74" w14:textId="77777777" w:rsidR="00AE6271" w:rsidRDefault="00000000">
            <w:pPr>
              <w:spacing w:before="20" w:after="20"/>
            </w:pPr>
            <w:r>
              <w:rPr>
                <w:color w:val="000000"/>
                <w:sz w:val="19"/>
              </w:rPr>
              <w:t>RMSE (points)</w:t>
            </w:r>
          </w:p>
        </w:tc>
        <w:tc>
          <w:tcPr>
            <w:tcW w:w="1152" w:type="dxa"/>
          </w:tcPr>
          <w:p w14:paraId="5233F7AC" w14:textId="77777777" w:rsidR="00AE6271" w:rsidRDefault="00000000">
            <w:pPr>
              <w:spacing w:before="20" w:after="20"/>
            </w:pPr>
            <w:r>
              <w:rPr>
                <w:color w:val="000000"/>
                <w:sz w:val="19"/>
              </w:rPr>
              <w:t>5.53</w:t>
            </w:r>
          </w:p>
        </w:tc>
        <w:tc>
          <w:tcPr>
            <w:tcW w:w="1368" w:type="dxa"/>
          </w:tcPr>
          <w:p w14:paraId="2EB1721A" w14:textId="77777777" w:rsidR="00AE6271" w:rsidRDefault="00000000">
            <w:pPr>
              <w:spacing w:before="20" w:after="20"/>
            </w:pPr>
            <w:r>
              <w:rPr>
                <w:color w:val="000000"/>
                <w:sz w:val="19"/>
              </w:rPr>
              <w:t>6.41</w:t>
            </w:r>
          </w:p>
        </w:tc>
        <w:tc>
          <w:tcPr>
            <w:tcW w:w="1152" w:type="dxa"/>
          </w:tcPr>
          <w:p w14:paraId="68732982" w14:textId="77777777" w:rsidR="00AE6271" w:rsidRDefault="00000000">
            <w:pPr>
              <w:spacing w:before="20" w:after="20"/>
            </w:pPr>
            <w:r>
              <w:rPr>
                <w:color w:val="000000"/>
                <w:sz w:val="19"/>
              </w:rPr>
              <w:t>7.64</w:t>
            </w:r>
          </w:p>
        </w:tc>
        <w:tc>
          <w:tcPr>
            <w:tcW w:w="2088" w:type="dxa"/>
          </w:tcPr>
          <w:p w14:paraId="250C46CE" w14:textId="77777777" w:rsidR="00AE6271" w:rsidRDefault="00000000">
            <w:pPr>
              <w:spacing w:before="20" w:after="20"/>
            </w:pPr>
            <w:r>
              <w:rPr>
                <w:color w:val="000000"/>
                <w:sz w:val="19"/>
              </w:rPr>
              <w:t>6.93 - 8.46</w:t>
            </w:r>
          </w:p>
        </w:tc>
      </w:tr>
      <w:tr w:rsidR="00AE6271" w14:paraId="7B9F9673" w14:textId="77777777">
        <w:trPr>
          <w:jc w:val="center"/>
        </w:trPr>
        <w:tc>
          <w:tcPr>
            <w:tcW w:w="1656" w:type="dxa"/>
          </w:tcPr>
          <w:p w14:paraId="55BE02A2" w14:textId="77777777" w:rsidR="00AE6271" w:rsidRDefault="00000000">
            <w:pPr>
              <w:spacing w:before="20" w:after="20"/>
            </w:pPr>
            <w:r>
              <w:rPr>
                <w:color w:val="000000"/>
                <w:sz w:val="19"/>
              </w:rPr>
              <w:t>Progression</w:t>
            </w:r>
          </w:p>
        </w:tc>
        <w:tc>
          <w:tcPr>
            <w:tcW w:w="1728" w:type="dxa"/>
          </w:tcPr>
          <w:p w14:paraId="7577E866" w14:textId="77777777" w:rsidR="00AE6271" w:rsidRDefault="00000000">
            <w:pPr>
              <w:spacing w:before="20" w:after="20"/>
            </w:pPr>
            <w:r>
              <w:rPr>
                <w:color w:val="000000"/>
                <w:sz w:val="19"/>
              </w:rPr>
              <w:t>MAE (points)</w:t>
            </w:r>
          </w:p>
        </w:tc>
        <w:tc>
          <w:tcPr>
            <w:tcW w:w="1152" w:type="dxa"/>
          </w:tcPr>
          <w:p w14:paraId="141B924F" w14:textId="77777777" w:rsidR="00AE6271" w:rsidRDefault="00000000">
            <w:pPr>
              <w:spacing w:before="20" w:after="20"/>
            </w:pPr>
            <w:r>
              <w:rPr>
                <w:color w:val="000000"/>
                <w:sz w:val="19"/>
              </w:rPr>
              <w:t>3.82</w:t>
            </w:r>
          </w:p>
        </w:tc>
        <w:tc>
          <w:tcPr>
            <w:tcW w:w="1368" w:type="dxa"/>
          </w:tcPr>
          <w:p w14:paraId="00C8A0EB" w14:textId="77777777" w:rsidR="00AE6271" w:rsidRDefault="00000000">
            <w:pPr>
              <w:spacing w:before="20" w:after="20"/>
            </w:pPr>
            <w:r>
              <w:rPr>
                <w:color w:val="000000"/>
                <w:sz w:val="19"/>
              </w:rPr>
              <w:t>4.44</w:t>
            </w:r>
          </w:p>
        </w:tc>
        <w:tc>
          <w:tcPr>
            <w:tcW w:w="1152" w:type="dxa"/>
          </w:tcPr>
          <w:p w14:paraId="2BD1FE09" w14:textId="77777777" w:rsidR="00AE6271" w:rsidRDefault="00000000">
            <w:pPr>
              <w:spacing w:before="20" w:after="20"/>
            </w:pPr>
            <w:r>
              <w:rPr>
                <w:color w:val="000000"/>
                <w:sz w:val="19"/>
              </w:rPr>
              <w:t>5.14</w:t>
            </w:r>
          </w:p>
        </w:tc>
        <w:tc>
          <w:tcPr>
            <w:tcW w:w="2088" w:type="dxa"/>
          </w:tcPr>
          <w:p w14:paraId="320B6E9F" w14:textId="77777777" w:rsidR="00AE6271" w:rsidRDefault="00000000">
            <w:pPr>
              <w:spacing w:before="20" w:after="20"/>
            </w:pPr>
            <w:r>
              <w:rPr>
                <w:color w:val="000000"/>
                <w:sz w:val="19"/>
              </w:rPr>
              <w:t>4.67 - 5.69</w:t>
            </w:r>
          </w:p>
        </w:tc>
      </w:tr>
      <w:tr w:rsidR="00AE6271" w14:paraId="6FDF7777" w14:textId="77777777">
        <w:trPr>
          <w:jc w:val="center"/>
        </w:trPr>
        <w:tc>
          <w:tcPr>
            <w:tcW w:w="1656" w:type="dxa"/>
          </w:tcPr>
          <w:p w14:paraId="345BA351" w14:textId="77777777" w:rsidR="00AE6271" w:rsidRDefault="00000000">
            <w:pPr>
              <w:spacing w:before="20" w:after="20"/>
            </w:pPr>
            <w:r>
              <w:rPr>
                <w:color w:val="000000"/>
                <w:sz w:val="19"/>
              </w:rPr>
              <w:t>Progression</w:t>
            </w:r>
          </w:p>
        </w:tc>
        <w:tc>
          <w:tcPr>
            <w:tcW w:w="1728" w:type="dxa"/>
          </w:tcPr>
          <w:p w14:paraId="3A951B17" w14:textId="77777777" w:rsidR="00AE6271" w:rsidRDefault="00000000">
            <w:pPr>
              <w:spacing w:before="20" w:after="20"/>
            </w:pPr>
            <w:r>
              <w:rPr>
                <w:color w:val="000000"/>
                <w:sz w:val="19"/>
              </w:rPr>
              <w:t>R-squared</w:t>
            </w:r>
          </w:p>
        </w:tc>
        <w:tc>
          <w:tcPr>
            <w:tcW w:w="1152" w:type="dxa"/>
          </w:tcPr>
          <w:p w14:paraId="053D11D5" w14:textId="77777777" w:rsidR="00AE6271" w:rsidRDefault="00000000">
            <w:pPr>
              <w:spacing w:before="20" w:after="20"/>
            </w:pPr>
            <w:r>
              <w:rPr>
                <w:color w:val="000000"/>
                <w:sz w:val="19"/>
              </w:rPr>
              <w:t>0.3180</w:t>
            </w:r>
          </w:p>
        </w:tc>
        <w:tc>
          <w:tcPr>
            <w:tcW w:w="1368" w:type="dxa"/>
          </w:tcPr>
          <w:p w14:paraId="12E1CF01" w14:textId="77777777" w:rsidR="00AE6271" w:rsidRDefault="00000000">
            <w:pPr>
              <w:spacing w:before="20" w:after="20"/>
            </w:pPr>
            <w:r>
              <w:rPr>
                <w:color w:val="000000"/>
                <w:sz w:val="19"/>
              </w:rPr>
              <w:t>0.1506</w:t>
            </w:r>
          </w:p>
        </w:tc>
        <w:tc>
          <w:tcPr>
            <w:tcW w:w="1152" w:type="dxa"/>
          </w:tcPr>
          <w:p w14:paraId="7BCF1CCC" w14:textId="77777777" w:rsidR="00AE6271" w:rsidRDefault="00000000">
            <w:pPr>
              <w:spacing w:before="20" w:after="20"/>
            </w:pPr>
            <w:r>
              <w:rPr>
                <w:color w:val="000000"/>
                <w:sz w:val="19"/>
              </w:rPr>
              <w:t>-0.0993</w:t>
            </w:r>
          </w:p>
        </w:tc>
        <w:tc>
          <w:tcPr>
            <w:tcW w:w="2088" w:type="dxa"/>
          </w:tcPr>
          <w:p w14:paraId="5390AA3B" w14:textId="77777777" w:rsidR="00AE6271" w:rsidRDefault="00000000">
            <w:pPr>
              <w:spacing w:before="20" w:after="20"/>
            </w:pPr>
            <w:r>
              <w:rPr>
                <w:color w:val="000000"/>
                <w:sz w:val="19"/>
              </w:rPr>
              <w:t>-0.242 - 0.027</w:t>
            </w:r>
          </w:p>
        </w:tc>
      </w:tr>
      <w:tr w:rsidR="00AE6271" w14:paraId="57B26D06" w14:textId="77777777">
        <w:trPr>
          <w:jc w:val="center"/>
        </w:trPr>
        <w:tc>
          <w:tcPr>
            <w:tcW w:w="1656" w:type="dxa"/>
          </w:tcPr>
          <w:p w14:paraId="6AF70EDB" w14:textId="77777777" w:rsidR="00AE6271" w:rsidRDefault="00000000">
            <w:pPr>
              <w:spacing w:before="20" w:after="20"/>
            </w:pPr>
            <w:r>
              <w:rPr>
                <w:color w:val="000000"/>
                <w:sz w:val="19"/>
              </w:rPr>
              <w:t>Progression</w:t>
            </w:r>
          </w:p>
        </w:tc>
        <w:tc>
          <w:tcPr>
            <w:tcW w:w="1728" w:type="dxa"/>
          </w:tcPr>
          <w:p w14:paraId="2301E6DD" w14:textId="77777777" w:rsidR="00AE6271" w:rsidRDefault="00000000">
            <w:pPr>
              <w:spacing w:before="20" w:after="20"/>
            </w:pPr>
            <w:r>
              <w:rPr>
                <w:color w:val="000000"/>
                <w:sz w:val="19"/>
              </w:rPr>
              <w:t>Pearson r</w:t>
            </w:r>
          </w:p>
        </w:tc>
        <w:tc>
          <w:tcPr>
            <w:tcW w:w="1152" w:type="dxa"/>
          </w:tcPr>
          <w:p w14:paraId="1B027724" w14:textId="77777777" w:rsidR="00AE6271" w:rsidRDefault="00000000">
            <w:pPr>
              <w:spacing w:before="20" w:after="20"/>
            </w:pPr>
            <w:r>
              <w:rPr>
                <w:color w:val="000000"/>
                <w:sz w:val="19"/>
              </w:rPr>
              <w:t>0.5650</w:t>
            </w:r>
          </w:p>
        </w:tc>
        <w:tc>
          <w:tcPr>
            <w:tcW w:w="1368" w:type="dxa"/>
          </w:tcPr>
          <w:p w14:paraId="48A16529" w14:textId="77777777" w:rsidR="00AE6271" w:rsidRDefault="00000000">
            <w:pPr>
              <w:spacing w:before="20" w:after="20"/>
            </w:pPr>
            <w:r>
              <w:rPr>
                <w:color w:val="000000"/>
                <w:sz w:val="19"/>
              </w:rPr>
              <w:t>0.4173</w:t>
            </w:r>
          </w:p>
        </w:tc>
        <w:tc>
          <w:tcPr>
            <w:tcW w:w="1152" w:type="dxa"/>
          </w:tcPr>
          <w:p w14:paraId="72B2C1DD" w14:textId="77777777" w:rsidR="00AE6271" w:rsidRDefault="00000000">
            <w:pPr>
              <w:spacing w:before="20" w:after="20"/>
            </w:pPr>
            <w:r>
              <w:rPr>
                <w:color w:val="000000"/>
                <w:sz w:val="19"/>
              </w:rPr>
              <w:t>0.1769</w:t>
            </w:r>
          </w:p>
        </w:tc>
        <w:tc>
          <w:tcPr>
            <w:tcW w:w="2088" w:type="dxa"/>
          </w:tcPr>
          <w:p w14:paraId="4EC431AC" w14:textId="77777777" w:rsidR="00AE6271" w:rsidRDefault="00000000">
            <w:pPr>
              <w:spacing w:before="20" w:after="20"/>
            </w:pPr>
            <w:r>
              <w:rPr>
                <w:color w:val="000000"/>
                <w:sz w:val="19"/>
              </w:rPr>
              <w:t>-</w:t>
            </w:r>
          </w:p>
        </w:tc>
      </w:tr>
      <w:tr w:rsidR="00AE6271" w14:paraId="6A31E5E4" w14:textId="77777777">
        <w:trPr>
          <w:jc w:val="center"/>
        </w:trPr>
        <w:tc>
          <w:tcPr>
            <w:tcW w:w="1656" w:type="dxa"/>
          </w:tcPr>
          <w:p w14:paraId="730D5B57" w14:textId="77777777" w:rsidR="00AE6271" w:rsidRDefault="00000000">
            <w:pPr>
              <w:spacing w:before="20" w:after="20"/>
            </w:pPr>
            <w:r>
              <w:rPr>
                <w:color w:val="000000"/>
                <w:sz w:val="19"/>
              </w:rPr>
              <w:t>Diagnosis</w:t>
            </w:r>
          </w:p>
        </w:tc>
        <w:tc>
          <w:tcPr>
            <w:tcW w:w="1728" w:type="dxa"/>
          </w:tcPr>
          <w:p w14:paraId="6276027A" w14:textId="77777777" w:rsidR="00AE6271" w:rsidRDefault="00000000">
            <w:pPr>
              <w:spacing w:before="20" w:after="20"/>
            </w:pPr>
            <w:r>
              <w:rPr>
                <w:color w:val="000000"/>
                <w:sz w:val="19"/>
              </w:rPr>
              <w:t>ROC-AUC</w:t>
            </w:r>
          </w:p>
        </w:tc>
        <w:tc>
          <w:tcPr>
            <w:tcW w:w="1152" w:type="dxa"/>
          </w:tcPr>
          <w:p w14:paraId="6449F57C" w14:textId="77777777" w:rsidR="00AE6271" w:rsidRDefault="00000000">
            <w:pPr>
              <w:spacing w:before="20" w:after="20"/>
            </w:pPr>
            <w:r>
              <w:rPr>
                <w:color w:val="000000"/>
                <w:sz w:val="19"/>
              </w:rPr>
              <w:t>0.9859</w:t>
            </w:r>
          </w:p>
        </w:tc>
        <w:tc>
          <w:tcPr>
            <w:tcW w:w="1368" w:type="dxa"/>
          </w:tcPr>
          <w:p w14:paraId="045B76DC" w14:textId="77777777" w:rsidR="00AE6271" w:rsidRDefault="00000000">
            <w:pPr>
              <w:spacing w:before="20" w:after="20"/>
            </w:pPr>
            <w:r>
              <w:rPr>
                <w:color w:val="000000"/>
                <w:sz w:val="19"/>
              </w:rPr>
              <w:t>0.9839</w:t>
            </w:r>
          </w:p>
        </w:tc>
        <w:tc>
          <w:tcPr>
            <w:tcW w:w="1152" w:type="dxa"/>
          </w:tcPr>
          <w:p w14:paraId="43EB7D1C" w14:textId="77777777" w:rsidR="00AE6271" w:rsidRDefault="00000000">
            <w:pPr>
              <w:spacing w:before="20" w:after="20"/>
            </w:pPr>
            <w:r>
              <w:rPr>
                <w:color w:val="000000"/>
                <w:sz w:val="19"/>
              </w:rPr>
              <w:t>0.9816</w:t>
            </w:r>
          </w:p>
        </w:tc>
        <w:tc>
          <w:tcPr>
            <w:tcW w:w="2088" w:type="dxa"/>
          </w:tcPr>
          <w:p w14:paraId="3C2B74F0" w14:textId="77777777" w:rsidR="00AE6271" w:rsidRDefault="00000000">
            <w:pPr>
              <w:spacing w:before="20" w:after="20"/>
            </w:pPr>
            <w:r>
              <w:rPr>
                <w:color w:val="000000"/>
                <w:sz w:val="19"/>
              </w:rPr>
              <w:t>-</w:t>
            </w:r>
          </w:p>
        </w:tc>
      </w:tr>
      <w:tr w:rsidR="00AE6271" w14:paraId="62C7FD83" w14:textId="77777777">
        <w:trPr>
          <w:jc w:val="center"/>
        </w:trPr>
        <w:tc>
          <w:tcPr>
            <w:tcW w:w="1656" w:type="dxa"/>
          </w:tcPr>
          <w:p w14:paraId="174D3957" w14:textId="77777777" w:rsidR="00AE6271" w:rsidRDefault="00000000">
            <w:pPr>
              <w:spacing w:before="20" w:after="20"/>
            </w:pPr>
            <w:r>
              <w:rPr>
                <w:color w:val="000000"/>
                <w:sz w:val="19"/>
              </w:rPr>
              <w:t>Diagnosis</w:t>
            </w:r>
          </w:p>
        </w:tc>
        <w:tc>
          <w:tcPr>
            <w:tcW w:w="1728" w:type="dxa"/>
          </w:tcPr>
          <w:p w14:paraId="089D8C76" w14:textId="77777777" w:rsidR="00AE6271" w:rsidRDefault="00000000">
            <w:pPr>
              <w:spacing w:before="20" w:after="20"/>
            </w:pPr>
            <w:r>
              <w:rPr>
                <w:color w:val="000000"/>
                <w:sz w:val="19"/>
              </w:rPr>
              <w:t>Accuracy</w:t>
            </w:r>
          </w:p>
        </w:tc>
        <w:tc>
          <w:tcPr>
            <w:tcW w:w="1152" w:type="dxa"/>
          </w:tcPr>
          <w:p w14:paraId="1F2233C8" w14:textId="77777777" w:rsidR="00AE6271" w:rsidRDefault="00000000">
            <w:pPr>
              <w:spacing w:before="20" w:after="20"/>
            </w:pPr>
            <w:r>
              <w:rPr>
                <w:color w:val="000000"/>
                <w:sz w:val="19"/>
              </w:rPr>
              <w:t>0.9543</w:t>
            </w:r>
          </w:p>
        </w:tc>
        <w:tc>
          <w:tcPr>
            <w:tcW w:w="1368" w:type="dxa"/>
          </w:tcPr>
          <w:p w14:paraId="7E2939DF" w14:textId="77777777" w:rsidR="00AE6271" w:rsidRDefault="00000000">
            <w:pPr>
              <w:spacing w:before="20" w:after="20"/>
            </w:pPr>
            <w:r>
              <w:rPr>
                <w:color w:val="000000"/>
                <w:sz w:val="19"/>
              </w:rPr>
              <w:t>0.9367</w:t>
            </w:r>
          </w:p>
        </w:tc>
        <w:tc>
          <w:tcPr>
            <w:tcW w:w="1152" w:type="dxa"/>
          </w:tcPr>
          <w:p w14:paraId="0E9E2563" w14:textId="77777777" w:rsidR="00AE6271" w:rsidRDefault="00000000">
            <w:pPr>
              <w:spacing w:before="20" w:after="20"/>
            </w:pPr>
            <w:r>
              <w:rPr>
                <w:color w:val="000000"/>
                <w:sz w:val="19"/>
              </w:rPr>
              <w:t>0.9367</w:t>
            </w:r>
          </w:p>
        </w:tc>
        <w:tc>
          <w:tcPr>
            <w:tcW w:w="2088" w:type="dxa"/>
          </w:tcPr>
          <w:p w14:paraId="640D06BA" w14:textId="77777777" w:rsidR="00AE6271" w:rsidRDefault="00000000">
            <w:pPr>
              <w:spacing w:before="20" w:after="20"/>
            </w:pPr>
            <w:r>
              <w:rPr>
                <w:color w:val="000000"/>
                <w:sz w:val="19"/>
              </w:rPr>
              <w:t>-</w:t>
            </w:r>
          </w:p>
        </w:tc>
      </w:tr>
      <w:tr w:rsidR="00AE6271" w14:paraId="294FD456" w14:textId="77777777">
        <w:trPr>
          <w:jc w:val="center"/>
        </w:trPr>
        <w:tc>
          <w:tcPr>
            <w:tcW w:w="1656" w:type="dxa"/>
          </w:tcPr>
          <w:p w14:paraId="2D5572AB" w14:textId="77777777" w:rsidR="00AE6271" w:rsidRDefault="00000000">
            <w:pPr>
              <w:spacing w:before="20" w:after="20"/>
            </w:pPr>
            <w:r>
              <w:rPr>
                <w:color w:val="000000"/>
                <w:sz w:val="19"/>
              </w:rPr>
              <w:t>Diagnosis</w:t>
            </w:r>
          </w:p>
        </w:tc>
        <w:tc>
          <w:tcPr>
            <w:tcW w:w="1728" w:type="dxa"/>
          </w:tcPr>
          <w:p w14:paraId="421CC910" w14:textId="77777777" w:rsidR="00AE6271" w:rsidRDefault="00000000">
            <w:pPr>
              <w:spacing w:before="20" w:after="20"/>
            </w:pPr>
            <w:r>
              <w:rPr>
                <w:color w:val="000000"/>
                <w:sz w:val="19"/>
              </w:rPr>
              <w:t>F1 score</w:t>
            </w:r>
          </w:p>
        </w:tc>
        <w:tc>
          <w:tcPr>
            <w:tcW w:w="1152" w:type="dxa"/>
          </w:tcPr>
          <w:p w14:paraId="655A3477" w14:textId="77777777" w:rsidR="00AE6271" w:rsidRDefault="00000000">
            <w:pPr>
              <w:spacing w:before="20" w:after="20"/>
            </w:pPr>
            <w:r>
              <w:rPr>
                <w:color w:val="000000"/>
                <w:sz w:val="19"/>
              </w:rPr>
              <w:t>0.9359</w:t>
            </w:r>
          </w:p>
        </w:tc>
        <w:tc>
          <w:tcPr>
            <w:tcW w:w="1368" w:type="dxa"/>
          </w:tcPr>
          <w:p w14:paraId="509BA846" w14:textId="77777777" w:rsidR="00AE6271" w:rsidRDefault="00000000">
            <w:pPr>
              <w:spacing w:before="20" w:after="20"/>
            </w:pPr>
            <w:r>
              <w:rPr>
                <w:color w:val="000000"/>
                <w:sz w:val="19"/>
              </w:rPr>
              <w:t>0.9129</w:t>
            </w:r>
          </w:p>
        </w:tc>
        <w:tc>
          <w:tcPr>
            <w:tcW w:w="1152" w:type="dxa"/>
          </w:tcPr>
          <w:p w14:paraId="7E93669C" w14:textId="77777777" w:rsidR="00AE6271" w:rsidRDefault="00000000">
            <w:pPr>
              <w:spacing w:before="20" w:after="20"/>
            </w:pPr>
            <w:r>
              <w:rPr>
                <w:color w:val="000000"/>
                <w:sz w:val="19"/>
              </w:rPr>
              <w:t>0.9115</w:t>
            </w:r>
          </w:p>
        </w:tc>
        <w:tc>
          <w:tcPr>
            <w:tcW w:w="2088" w:type="dxa"/>
          </w:tcPr>
          <w:p w14:paraId="77D45F10" w14:textId="77777777" w:rsidR="00AE6271" w:rsidRDefault="00000000">
            <w:pPr>
              <w:spacing w:before="20" w:after="20"/>
            </w:pPr>
            <w:r>
              <w:rPr>
                <w:color w:val="000000"/>
                <w:sz w:val="19"/>
              </w:rPr>
              <w:t>-</w:t>
            </w:r>
          </w:p>
        </w:tc>
      </w:tr>
    </w:tbl>
    <w:p w14:paraId="7691B3E4" w14:textId="77777777" w:rsidR="00AE6271" w:rsidRDefault="00000000">
      <w:pPr>
        <w:spacing w:before="40" w:after="240"/>
        <w:jc w:val="center"/>
      </w:pPr>
      <w:r>
        <w:rPr>
          <w:i/>
          <w:color w:val="595959"/>
          <w:sz w:val="22"/>
        </w:rPr>
        <w:t>Table 6. Fed-PhenoGraft, one-shot held-out evaluation (n = 521).</w:t>
      </w:r>
    </w:p>
    <w:tbl>
      <w:tblPr>
        <w:tblStyle w:val="TableGrid"/>
        <w:tblW w:w="0" w:type="auto"/>
        <w:jc w:val="center"/>
        <w:tblLayout w:type="fixed"/>
        <w:tblLook w:val="04A0" w:firstRow="1" w:lastRow="0" w:firstColumn="1" w:lastColumn="0" w:noHBand="0" w:noVBand="1"/>
      </w:tblPr>
      <w:tblGrid>
        <w:gridCol w:w="2016"/>
        <w:gridCol w:w="2160"/>
        <w:gridCol w:w="1944"/>
        <w:gridCol w:w="1224"/>
      </w:tblGrid>
      <w:tr w:rsidR="00AE6271" w14:paraId="7DA7C251" w14:textId="77777777">
        <w:trPr>
          <w:jc w:val="center"/>
        </w:trPr>
        <w:tc>
          <w:tcPr>
            <w:tcW w:w="2016" w:type="dxa"/>
            <w:shd w:val="clear" w:color="auto" w:fill="D9E2F3"/>
          </w:tcPr>
          <w:p w14:paraId="4EAF2B10" w14:textId="77777777" w:rsidR="00AE6271" w:rsidRDefault="00AE6271">
            <w:pPr>
              <w:spacing w:before="20" w:after="20"/>
            </w:pPr>
          </w:p>
        </w:tc>
        <w:tc>
          <w:tcPr>
            <w:tcW w:w="2160" w:type="dxa"/>
            <w:shd w:val="clear" w:color="auto" w:fill="D9E2F3"/>
          </w:tcPr>
          <w:p w14:paraId="3113DAC2" w14:textId="77777777" w:rsidR="00AE6271" w:rsidRDefault="00000000">
            <w:pPr>
              <w:spacing w:before="20" w:after="20"/>
            </w:pPr>
            <w:r>
              <w:rPr>
                <w:b/>
                <w:color w:val="000000"/>
                <w:sz w:val="20"/>
              </w:rPr>
              <w:t>Predicted non-PD</w:t>
            </w:r>
          </w:p>
        </w:tc>
        <w:tc>
          <w:tcPr>
            <w:tcW w:w="1944" w:type="dxa"/>
            <w:shd w:val="clear" w:color="auto" w:fill="D9E2F3"/>
          </w:tcPr>
          <w:p w14:paraId="61BC0510" w14:textId="77777777" w:rsidR="00AE6271" w:rsidRDefault="00000000">
            <w:pPr>
              <w:spacing w:before="20" w:after="20"/>
            </w:pPr>
            <w:r>
              <w:rPr>
                <w:b/>
                <w:color w:val="000000"/>
                <w:sz w:val="20"/>
              </w:rPr>
              <w:t>Predicted PD</w:t>
            </w:r>
          </w:p>
        </w:tc>
        <w:tc>
          <w:tcPr>
            <w:tcW w:w="1224" w:type="dxa"/>
            <w:shd w:val="clear" w:color="auto" w:fill="D9E2F3"/>
          </w:tcPr>
          <w:p w14:paraId="051B26AF" w14:textId="77777777" w:rsidR="00AE6271" w:rsidRDefault="00000000">
            <w:pPr>
              <w:spacing w:before="20" w:after="20"/>
            </w:pPr>
            <w:r>
              <w:rPr>
                <w:b/>
                <w:color w:val="000000"/>
                <w:sz w:val="20"/>
              </w:rPr>
              <w:t>Total</w:t>
            </w:r>
          </w:p>
        </w:tc>
      </w:tr>
      <w:tr w:rsidR="00AE6271" w14:paraId="40E915E9" w14:textId="77777777">
        <w:trPr>
          <w:jc w:val="center"/>
        </w:trPr>
        <w:tc>
          <w:tcPr>
            <w:tcW w:w="2016" w:type="dxa"/>
          </w:tcPr>
          <w:p w14:paraId="27D686DA" w14:textId="77777777" w:rsidR="00AE6271" w:rsidRDefault="00000000">
            <w:pPr>
              <w:spacing w:before="20" w:after="20"/>
            </w:pPr>
            <w:r>
              <w:rPr>
                <w:color w:val="000000"/>
                <w:sz w:val="20"/>
              </w:rPr>
              <w:t>Actual non-PD</w:t>
            </w:r>
          </w:p>
        </w:tc>
        <w:tc>
          <w:tcPr>
            <w:tcW w:w="2160" w:type="dxa"/>
          </w:tcPr>
          <w:p w14:paraId="6C00228C" w14:textId="77777777" w:rsidR="00AE6271" w:rsidRDefault="00000000">
            <w:pPr>
              <w:spacing w:before="20" w:after="20"/>
            </w:pPr>
            <w:r>
              <w:rPr>
                <w:color w:val="000000"/>
                <w:sz w:val="20"/>
              </w:rPr>
              <w:t>318</w:t>
            </w:r>
          </w:p>
        </w:tc>
        <w:tc>
          <w:tcPr>
            <w:tcW w:w="1944" w:type="dxa"/>
          </w:tcPr>
          <w:p w14:paraId="5C3A4E64" w14:textId="77777777" w:rsidR="00AE6271" w:rsidRDefault="00000000">
            <w:pPr>
              <w:spacing w:before="20" w:after="20"/>
            </w:pPr>
            <w:r>
              <w:rPr>
                <w:color w:val="000000"/>
                <w:sz w:val="20"/>
              </w:rPr>
              <w:t>20</w:t>
            </w:r>
          </w:p>
        </w:tc>
        <w:tc>
          <w:tcPr>
            <w:tcW w:w="1224" w:type="dxa"/>
          </w:tcPr>
          <w:p w14:paraId="43DE4425" w14:textId="77777777" w:rsidR="00AE6271" w:rsidRDefault="00000000">
            <w:pPr>
              <w:spacing w:before="20" w:after="20"/>
            </w:pPr>
            <w:r>
              <w:rPr>
                <w:color w:val="000000"/>
                <w:sz w:val="20"/>
              </w:rPr>
              <w:t>338</w:t>
            </w:r>
          </w:p>
        </w:tc>
      </w:tr>
      <w:tr w:rsidR="00AE6271" w14:paraId="60AF79DF" w14:textId="77777777">
        <w:trPr>
          <w:jc w:val="center"/>
        </w:trPr>
        <w:tc>
          <w:tcPr>
            <w:tcW w:w="2016" w:type="dxa"/>
          </w:tcPr>
          <w:p w14:paraId="48FA56A6" w14:textId="77777777" w:rsidR="00AE6271" w:rsidRDefault="00000000">
            <w:pPr>
              <w:spacing w:before="20" w:after="20"/>
            </w:pPr>
            <w:r>
              <w:rPr>
                <w:color w:val="000000"/>
                <w:sz w:val="20"/>
              </w:rPr>
              <w:t>Actual PD</w:t>
            </w:r>
          </w:p>
        </w:tc>
        <w:tc>
          <w:tcPr>
            <w:tcW w:w="2160" w:type="dxa"/>
          </w:tcPr>
          <w:p w14:paraId="46DAF153" w14:textId="77777777" w:rsidR="00AE6271" w:rsidRDefault="00000000">
            <w:pPr>
              <w:spacing w:before="20" w:after="20"/>
            </w:pPr>
            <w:r>
              <w:rPr>
                <w:color w:val="000000"/>
                <w:sz w:val="20"/>
              </w:rPr>
              <w:t>13</w:t>
            </w:r>
          </w:p>
        </w:tc>
        <w:tc>
          <w:tcPr>
            <w:tcW w:w="1944" w:type="dxa"/>
          </w:tcPr>
          <w:p w14:paraId="5868E0E1" w14:textId="77777777" w:rsidR="00AE6271" w:rsidRDefault="00000000">
            <w:pPr>
              <w:spacing w:before="20" w:after="20"/>
            </w:pPr>
            <w:r>
              <w:rPr>
                <w:color w:val="000000"/>
                <w:sz w:val="20"/>
              </w:rPr>
              <w:t>170</w:t>
            </w:r>
          </w:p>
        </w:tc>
        <w:tc>
          <w:tcPr>
            <w:tcW w:w="1224" w:type="dxa"/>
          </w:tcPr>
          <w:p w14:paraId="4A880EE0" w14:textId="77777777" w:rsidR="00AE6271" w:rsidRDefault="00000000">
            <w:pPr>
              <w:spacing w:before="20" w:after="20"/>
            </w:pPr>
            <w:r>
              <w:rPr>
                <w:color w:val="000000"/>
                <w:sz w:val="20"/>
              </w:rPr>
              <w:t>183</w:t>
            </w:r>
          </w:p>
        </w:tc>
      </w:tr>
      <w:tr w:rsidR="00AE6271" w14:paraId="55F75C17" w14:textId="77777777">
        <w:trPr>
          <w:jc w:val="center"/>
        </w:trPr>
        <w:tc>
          <w:tcPr>
            <w:tcW w:w="2016" w:type="dxa"/>
          </w:tcPr>
          <w:p w14:paraId="46E33953" w14:textId="77777777" w:rsidR="00AE6271" w:rsidRDefault="00000000">
            <w:pPr>
              <w:spacing w:before="20" w:after="20"/>
            </w:pPr>
            <w:r>
              <w:rPr>
                <w:color w:val="000000"/>
                <w:sz w:val="20"/>
              </w:rPr>
              <w:t>Total</w:t>
            </w:r>
          </w:p>
        </w:tc>
        <w:tc>
          <w:tcPr>
            <w:tcW w:w="2160" w:type="dxa"/>
          </w:tcPr>
          <w:p w14:paraId="161B12C6" w14:textId="77777777" w:rsidR="00AE6271" w:rsidRDefault="00000000">
            <w:pPr>
              <w:spacing w:before="20" w:after="20"/>
            </w:pPr>
            <w:r>
              <w:rPr>
                <w:color w:val="000000"/>
                <w:sz w:val="20"/>
              </w:rPr>
              <w:t>331</w:t>
            </w:r>
          </w:p>
        </w:tc>
        <w:tc>
          <w:tcPr>
            <w:tcW w:w="1944" w:type="dxa"/>
          </w:tcPr>
          <w:p w14:paraId="27AC05CE" w14:textId="77777777" w:rsidR="00AE6271" w:rsidRDefault="00000000">
            <w:pPr>
              <w:spacing w:before="20" w:after="20"/>
            </w:pPr>
            <w:r>
              <w:rPr>
                <w:color w:val="000000"/>
                <w:sz w:val="20"/>
              </w:rPr>
              <w:t>190</w:t>
            </w:r>
          </w:p>
        </w:tc>
        <w:tc>
          <w:tcPr>
            <w:tcW w:w="1224" w:type="dxa"/>
          </w:tcPr>
          <w:p w14:paraId="0D677B71" w14:textId="77777777" w:rsidR="00AE6271" w:rsidRDefault="00000000">
            <w:pPr>
              <w:spacing w:before="20" w:after="20"/>
            </w:pPr>
            <w:r>
              <w:rPr>
                <w:color w:val="000000"/>
                <w:sz w:val="20"/>
              </w:rPr>
              <w:t>521</w:t>
            </w:r>
          </w:p>
        </w:tc>
      </w:tr>
    </w:tbl>
    <w:p w14:paraId="0D94C77C" w14:textId="77777777" w:rsidR="00AE6271" w:rsidRDefault="00000000">
      <w:pPr>
        <w:spacing w:before="40" w:after="240"/>
        <w:jc w:val="center"/>
      </w:pPr>
      <w:r>
        <w:rPr>
          <w:i/>
          <w:color w:val="595959"/>
          <w:sz w:val="22"/>
        </w:rPr>
        <w:t>Table 7. PD versus HC confusion matrix. Sensitivity 0.929, specificity 0.941, PPV 0.895, NPV 0.961.</w:t>
      </w:r>
    </w:p>
    <w:p w14:paraId="1FB58D75" w14:textId="77777777" w:rsidR="00AE6271" w:rsidRDefault="00000000">
      <w:pPr>
        <w:keepNext/>
        <w:spacing w:before="160" w:after="40"/>
        <w:jc w:val="center"/>
      </w:pPr>
      <w:r>
        <w:rPr>
          <w:noProof/>
        </w:rPr>
        <w:drawing>
          <wp:inline distT="0" distB="0" distL="0" distR="0" wp14:anchorId="4530405A" wp14:editId="67219ED9">
            <wp:extent cx="3291840" cy="29626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8"/>
                    <a:stretch>
                      <a:fillRect/>
                    </a:stretch>
                  </pic:blipFill>
                  <pic:spPr>
                    <a:xfrm>
                      <a:off x="0" y="0"/>
                      <a:ext cx="3291840" cy="2962656"/>
                    </a:xfrm>
                    <a:prstGeom prst="rect">
                      <a:avLst/>
                    </a:prstGeom>
                  </pic:spPr>
                </pic:pic>
              </a:graphicData>
            </a:graphic>
          </wp:inline>
        </w:drawing>
      </w:r>
    </w:p>
    <w:p w14:paraId="130077D4" w14:textId="77777777" w:rsidR="00AE6271" w:rsidRDefault="00000000">
      <w:pPr>
        <w:spacing w:before="40" w:after="240"/>
        <w:jc w:val="center"/>
      </w:pPr>
      <w:r>
        <w:rPr>
          <w:i/>
          <w:color w:val="595959"/>
          <w:sz w:val="22"/>
        </w:rPr>
        <w:t>Fig. 8. PD versus HC confusion matrix on the held-out test set.</w:t>
      </w:r>
    </w:p>
    <w:p w14:paraId="1401CDF2" w14:textId="77777777" w:rsidR="00AE6271" w:rsidRDefault="00000000">
      <w:pPr>
        <w:keepNext/>
        <w:spacing w:before="160" w:after="40"/>
        <w:jc w:val="center"/>
      </w:pPr>
      <w:r>
        <w:rPr>
          <w:noProof/>
        </w:rPr>
        <w:lastRenderedPageBreak/>
        <w:drawing>
          <wp:inline distT="0" distB="0" distL="0" distR="0" wp14:anchorId="0FD7E917" wp14:editId="6915CD4D">
            <wp:extent cx="5120640" cy="284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19"/>
                    <a:stretch>
                      <a:fillRect/>
                    </a:stretch>
                  </pic:blipFill>
                  <pic:spPr>
                    <a:xfrm>
                      <a:off x="0" y="0"/>
                      <a:ext cx="5120640" cy="2844800"/>
                    </a:xfrm>
                    <a:prstGeom prst="rect">
                      <a:avLst/>
                    </a:prstGeom>
                  </pic:spPr>
                </pic:pic>
              </a:graphicData>
            </a:graphic>
          </wp:inline>
        </w:drawing>
      </w:r>
    </w:p>
    <w:p w14:paraId="24466CCC" w14:textId="77777777" w:rsidR="00AE6271" w:rsidRDefault="00000000">
      <w:pPr>
        <w:spacing w:before="40" w:after="240"/>
        <w:jc w:val="center"/>
      </w:pPr>
      <w:r>
        <w:rPr>
          <w:i/>
          <w:color w:val="595959"/>
          <w:sz w:val="22"/>
        </w:rPr>
        <w:t>Fig. 9. Federated training with validation-based early stopping.</w:t>
      </w:r>
    </w:p>
    <w:p w14:paraId="3CC88435" w14:textId="77777777" w:rsidR="00AE6271" w:rsidRDefault="00000000">
      <w:pPr>
        <w:spacing w:after="120" w:line="276" w:lineRule="auto"/>
        <w:jc w:val="both"/>
      </w:pPr>
      <w:r>
        <w:rPr>
          <w:color w:val="000000"/>
        </w:rPr>
        <w:t>Baseline comparison. Twelve classical models were evaluated with per-fold preprocessing pipelines on the identical test subjects. The strongest, LightGBM, attains a test CCC of 0.2300. A paired bootstrap comparison against it gives a difference of -0.083 with a 95 per cent interval of -0.167 to -0.005 and p = 0.982, so Fed-PhenoGraft is not statistically distinguishable from the best baseline on the progression task. This is reported rather than concealed: it is the honest starting position, and the ablation below localises the cause. No baseline attempts the diagnosis task, on which the multimodal architecture reaches an AUC of 0.982.</w:t>
      </w:r>
    </w:p>
    <w:tbl>
      <w:tblPr>
        <w:tblStyle w:val="TableGrid"/>
        <w:tblW w:w="0" w:type="auto"/>
        <w:jc w:val="center"/>
        <w:tblLayout w:type="fixed"/>
        <w:tblLook w:val="04A0" w:firstRow="1" w:lastRow="0" w:firstColumn="1" w:lastColumn="0" w:noHBand="0" w:noVBand="1"/>
      </w:tblPr>
      <w:tblGrid>
        <w:gridCol w:w="2232"/>
        <w:gridCol w:w="2160"/>
        <w:gridCol w:w="1181"/>
        <w:gridCol w:w="1238"/>
        <w:gridCol w:w="1123"/>
        <w:gridCol w:w="1210"/>
      </w:tblGrid>
      <w:tr w:rsidR="00AE6271" w14:paraId="271190F4" w14:textId="77777777">
        <w:trPr>
          <w:jc w:val="center"/>
        </w:trPr>
        <w:tc>
          <w:tcPr>
            <w:tcW w:w="2232" w:type="dxa"/>
            <w:shd w:val="clear" w:color="auto" w:fill="D9E2F3"/>
          </w:tcPr>
          <w:p w14:paraId="7384C4A3" w14:textId="77777777" w:rsidR="00AE6271" w:rsidRDefault="00000000">
            <w:pPr>
              <w:spacing w:before="20" w:after="20"/>
            </w:pPr>
            <w:r>
              <w:rPr>
                <w:b/>
                <w:color w:val="000000"/>
                <w:sz w:val="19"/>
              </w:rPr>
              <w:t>Model</w:t>
            </w:r>
          </w:p>
        </w:tc>
        <w:tc>
          <w:tcPr>
            <w:tcW w:w="2160" w:type="dxa"/>
            <w:shd w:val="clear" w:color="auto" w:fill="D9E2F3"/>
          </w:tcPr>
          <w:p w14:paraId="477883D2" w14:textId="77777777" w:rsidR="00AE6271" w:rsidRDefault="00000000">
            <w:pPr>
              <w:spacing w:before="20" w:after="20"/>
            </w:pPr>
            <w:r>
              <w:rPr>
                <w:b/>
                <w:color w:val="000000"/>
                <w:sz w:val="19"/>
              </w:rPr>
              <w:t>CV CCC (mean +/- SD)</w:t>
            </w:r>
          </w:p>
        </w:tc>
        <w:tc>
          <w:tcPr>
            <w:tcW w:w="1181" w:type="dxa"/>
            <w:shd w:val="clear" w:color="auto" w:fill="D9E2F3"/>
          </w:tcPr>
          <w:p w14:paraId="7565EAA0" w14:textId="77777777" w:rsidR="00AE6271" w:rsidRDefault="00000000">
            <w:pPr>
              <w:spacing w:before="20" w:after="20"/>
            </w:pPr>
            <w:r>
              <w:rPr>
                <w:b/>
                <w:color w:val="000000"/>
                <w:sz w:val="19"/>
              </w:rPr>
              <w:t>Test CCC</w:t>
            </w:r>
          </w:p>
        </w:tc>
        <w:tc>
          <w:tcPr>
            <w:tcW w:w="1238" w:type="dxa"/>
            <w:shd w:val="clear" w:color="auto" w:fill="D9E2F3"/>
          </w:tcPr>
          <w:p w14:paraId="61E6E612" w14:textId="77777777" w:rsidR="00AE6271" w:rsidRDefault="00000000">
            <w:pPr>
              <w:spacing w:before="20" w:after="20"/>
            </w:pPr>
            <w:r>
              <w:rPr>
                <w:b/>
                <w:color w:val="000000"/>
                <w:sz w:val="19"/>
              </w:rPr>
              <w:t>Test RMSE</w:t>
            </w:r>
          </w:p>
        </w:tc>
        <w:tc>
          <w:tcPr>
            <w:tcW w:w="1123" w:type="dxa"/>
            <w:shd w:val="clear" w:color="auto" w:fill="D9E2F3"/>
          </w:tcPr>
          <w:p w14:paraId="72153ABF" w14:textId="77777777" w:rsidR="00AE6271" w:rsidRDefault="00000000">
            <w:pPr>
              <w:spacing w:before="20" w:after="20"/>
            </w:pPr>
            <w:r>
              <w:rPr>
                <w:b/>
                <w:color w:val="000000"/>
                <w:sz w:val="19"/>
              </w:rPr>
              <w:t>Test MAE</w:t>
            </w:r>
          </w:p>
        </w:tc>
        <w:tc>
          <w:tcPr>
            <w:tcW w:w="1210" w:type="dxa"/>
            <w:shd w:val="clear" w:color="auto" w:fill="D9E2F3"/>
          </w:tcPr>
          <w:p w14:paraId="337B950B" w14:textId="77777777" w:rsidR="00AE6271" w:rsidRDefault="00000000">
            <w:pPr>
              <w:spacing w:before="20" w:after="20"/>
            </w:pPr>
            <w:r>
              <w:rPr>
                <w:b/>
                <w:color w:val="000000"/>
                <w:sz w:val="19"/>
              </w:rPr>
              <w:t>Test R2</w:t>
            </w:r>
          </w:p>
        </w:tc>
      </w:tr>
      <w:tr w:rsidR="00AE6271" w14:paraId="07093544" w14:textId="77777777">
        <w:trPr>
          <w:jc w:val="center"/>
        </w:trPr>
        <w:tc>
          <w:tcPr>
            <w:tcW w:w="2232" w:type="dxa"/>
          </w:tcPr>
          <w:p w14:paraId="67F29ED4" w14:textId="77777777" w:rsidR="00AE6271" w:rsidRDefault="00000000">
            <w:pPr>
              <w:spacing w:before="20" w:after="20"/>
            </w:pPr>
            <w:r>
              <w:rPr>
                <w:color w:val="000000"/>
                <w:sz w:val="19"/>
              </w:rPr>
              <w:t>linear</w:t>
            </w:r>
          </w:p>
        </w:tc>
        <w:tc>
          <w:tcPr>
            <w:tcW w:w="2160" w:type="dxa"/>
          </w:tcPr>
          <w:p w14:paraId="61C42213" w14:textId="77777777" w:rsidR="00AE6271" w:rsidRDefault="00000000">
            <w:pPr>
              <w:spacing w:before="20" w:after="20"/>
            </w:pPr>
            <w:r>
              <w:rPr>
                <w:color w:val="000000"/>
                <w:sz w:val="19"/>
              </w:rPr>
              <w:t>0.2367 +/- 0.0241</w:t>
            </w:r>
          </w:p>
        </w:tc>
        <w:tc>
          <w:tcPr>
            <w:tcW w:w="1181" w:type="dxa"/>
          </w:tcPr>
          <w:p w14:paraId="3C5C24CB" w14:textId="77777777" w:rsidR="00AE6271" w:rsidRDefault="00000000">
            <w:pPr>
              <w:spacing w:before="20" w:after="20"/>
            </w:pPr>
            <w:r>
              <w:rPr>
                <w:color w:val="000000"/>
                <w:sz w:val="19"/>
              </w:rPr>
              <w:t>0.2039</w:t>
            </w:r>
          </w:p>
        </w:tc>
        <w:tc>
          <w:tcPr>
            <w:tcW w:w="1238" w:type="dxa"/>
          </w:tcPr>
          <w:p w14:paraId="35FC5D2F" w14:textId="77777777" w:rsidR="00AE6271" w:rsidRDefault="00000000">
            <w:pPr>
              <w:spacing w:before="20" w:after="20"/>
            </w:pPr>
            <w:r>
              <w:rPr>
                <w:color w:val="000000"/>
                <w:sz w:val="19"/>
              </w:rPr>
              <w:t>6.96</w:t>
            </w:r>
          </w:p>
        </w:tc>
        <w:tc>
          <w:tcPr>
            <w:tcW w:w="1123" w:type="dxa"/>
          </w:tcPr>
          <w:p w14:paraId="2D8F9AF5" w14:textId="77777777" w:rsidR="00AE6271" w:rsidRDefault="00000000">
            <w:pPr>
              <w:spacing w:before="20" w:after="20"/>
            </w:pPr>
            <w:r>
              <w:rPr>
                <w:color w:val="000000"/>
                <w:sz w:val="19"/>
              </w:rPr>
              <w:t>4.78</w:t>
            </w:r>
          </w:p>
        </w:tc>
        <w:tc>
          <w:tcPr>
            <w:tcW w:w="1210" w:type="dxa"/>
          </w:tcPr>
          <w:p w14:paraId="79387C65" w14:textId="77777777" w:rsidR="00AE6271" w:rsidRDefault="00000000">
            <w:pPr>
              <w:spacing w:before="20" w:after="20"/>
            </w:pPr>
            <w:r>
              <w:rPr>
                <w:color w:val="000000"/>
                <w:sz w:val="19"/>
              </w:rPr>
              <w:t>0.0894</w:t>
            </w:r>
          </w:p>
        </w:tc>
      </w:tr>
      <w:tr w:rsidR="00AE6271" w14:paraId="4EDE1BA7" w14:textId="77777777">
        <w:trPr>
          <w:jc w:val="center"/>
        </w:trPr>
        <w:tc>
          <w:tcPr>
            <w:tcW w:w="2232" w:type="dxa"/>
          </w:tcPr>
          <w:p w14:paraId="074D2DE0" w14:textId="77777777" w:rsidR="00AE6271" w:rsidRDefault="00000000">
            <w:pPr>
              <w:spacing w:before="20" w:after="20"/>
            </w:pPr>
            <w:r>
              <w:rPr>
                <w:color w:val="000000"/>
                <w:sz w:val="19"/>
              </w:rPr>
              <w:t>ridge</w:t>
            </w:r>
          </w:p>
        </w:tc>
        <w:tc>
          <w:tcPr>
            <w:tcW w:w="2160" w:type="dxa"/>
          </w:tcPr>
          <w:p w14:paraId="36E59862" w14:textId="77777777" w:rsidR="00AE6271" w:rsidRDefault="00000000">
            <w:pPr>
              <w:spacing w:before="20" w:after="20"/>
            </w:pPr>
            <w:r>
              <w:rPr>
                <w:color w:val="000000"/>
                <w:sz w:val="19"/>
              </w:rPr>
              <w:t>0.2368 +/- 0.0245</w:t>
            </w:r>
          </w:p>
        </w:tc>
        <w:tc>
          <w:tcPr>
            <w:tcW w:w="1181" w:type="dxa"/>
          </w:tcPr>
          <w:p w14:paraId="2113AF4F" w14:textId="77777777" w:rsidR="00AE6271" w:rsidRDefault="00000000">
            <w:pPr>
              <w:spacing w:before="20" w:after="20"/>
            </w:pPr>
            <w:r>
              <w:rPr>
                <w:color w:val="000000"/>
                <w:sz w:val="19"/>
              </w:rPr>
              <w:t>0.2036</w:t>
            </w:r>
          </w:p>
        </w:tc>
        <w:tc>
          <w:tcPr>
            <w:tcW w:w="1238" w:type="dxa"/>
          </w:tcPr>
          <w:p w14:paraId="0B393D06" w14:textId="77777777" w:rsidR="00AE6271" w:rsidRDefault="00000000">
            <w:pPr>
              <w:spacing w:before="20" w:after="20"/>
            </w:pPr>
            <w:r>
              <w:rPr>
                <w:color w:val="000000"/>
                <w:sz w:val="19"/>
              </w:rPr>
              <w:t>6.96</w:t>
            </w:r>
          </w:p>
        </w:tc>
        <w:tc>
          <w:tcPr>
            <w:tcW w:w="1123" w:type="dxa"/>
          </w:tcPr>
          <w:p w14:paraId="2DE6C20F" w14:textId="77777777" w:rsidR="00AE6271" w:rsidRDefault="00000000">
            <w:pPr>
              <w:spacing w:before="20" w:after="20"/>
            </w:pPr>
            <w:r>
              <w:rPr>
                <w:color w:val="000000"/>
                <w:sz w:val="19"/>
              </w:rPr>
              <w:t>4.78</w:t>
            </w:r>
          </w:p>
        </w:tc>
        <w:tc>
          <w:tcPr>
            <w:tcW w:w="1210" w:type="dxa"/>
          </w:tcPr>
          <w:p w14:paraId="08AF79BE" w14:textId="77777777" w:rsidR="00AE6271" w:rsidRDefault="00000000">
            <w:pPr>
              <w:spacing w:before="20" w:after="20"/>
            </w:pPr>
            <w:r>
              <w:rPr>
                <w:color w:val="000000"/>
                <w:sz w:val="19"/>
              </w:rPr>
              <w:t>0.0893</w:t>
            </w:r>
          </w:p>
        </w:tc>
      </w:tr>
      <w:tr w:rsidR="00AE6271" w14:paraId="3FB8BCE7" w14:textId="77777777">
        <w:trPr>
          <w:jc w:val="center"/>
        </w:trPr>
        <w:tc>
          <w:tcPr>
            <w:tcW w:w="2232" w:type="dxa"/>
          </w:tcPr>
          <w:p w14:paraId="39D7C743" w14:textId="77777777" w:rsidR="00AE6271" w:rsidRDefault="00000000">
            <w:pPr>
              <w:spacing w:before="20" w:after="20"/>
            </w:pPr>
            <w:r>
              <w:rPr>
                <w:color w:val="000000"/>
                <w:sz w:val="19"/>
              </w:rPr>
              <w:t>lasso</w:t>
            </w:r>
          </w:p>
        </w:tc>
        <w:tc>
          <w:tcPr>
            <w:tcW w:w="2160" w:type="dxa"/>
          </w:tcPr>
          <w:p w14:paraId="260416E7" w14:textId="77777777" w:rsidR="00AE6271" w:rsidRDefault="00000000">
            <w:pPr>
              <w:spacing w:before="20" w:after="20"/>
            </w:pPr>
            <w:r>
              <w:rPr>
                <w:color w:val="000000"/>
                <w:sz w:val="19"/>
              </w:rPr>
              <w:t>0.2195 +/- 0.0231</w:t>
            </w:r>
          </w:p>
        </w:tc>
        <w:tc>
          <w:tcPr>
            <w:tcW w:w="1181" w:type="dxa"/>
          </w:tcPr>
          <w:p w14:paraId="05EF734A" w14:textId="77777777" w:rsidR="00AE6271" w:rsidRDefault="00000000">
            <w:pPr>
              <w:spacing w:before="20" w:after="20"/>
            </w:pPr>
            <w:r>
              <w:rPr>
                <w:color w:val="000000"/>
                <w:sz w:val="19"/>
              </w:rPr>
              <w:t>0.1833</w:t>
            </w:r>
          </w:p>
        </w:tc>
        <w:tc>
          <w:tcPr>
            <w:tcW w:w="1238" w:type="dxa"/>
          </w:tcPr>
          <w:p w14:paraId="4E26896A" w14:textId="77777777" w:rsidR="00AE6271" w:rsidRDefault="00000000">
            <w:pPr>
              <w:spacing w:before="20" w:after="20"/>
            </w:pPr>
            <w:r>
              <w:rPr>
                <w:color w:val="000000"/>
                <w:sz w:val="19"/>
              </w:rPr>
              <w:t>6.92</w:t>
            </w:r>
          </w:p>
        </w:tc>
        <w:tc>
          <w:tcPr>
            <w:tcW w:w="1123" w:type="dxa"/>
          </w:tcPr>
          <w:p w14:paraId="377295CE" w14:textId="77777777" w:rsidR="00AE6271" w:rsidRDefault="00000000">
            <w:pPr>
              <w:spacing w:before="20" w:after="20"/>
            </w:pPr>
            <w:r>
              <w:rPr>
                <w:color w:val="000000"/>
                <w:sz w:val="19"/>
              </w:rPr>
              <w:t>4.70</w:t>
            </w:r>
          </w:p>
        </w:tc>
        <w:tc>
          <w:tcPr>
            <w:tcW w:w="1210" w:type="dxa"/>
          </w:tcPr>
          <w:p w14:paraId="41E9C1B3" w14:textId="77777777" w:rsidR="00AE6271" w:rsidRDefault="00000000">
            <w:pPr>
              <w:spacing w:before="20" w:after="20"/>
            </w:pPr>
            <w:r>
              <w:rPr>
                <w:color w:val="000000"/>
                <w:sz w:val="19"/>
              </w:rPr>
              <w:t>0.1000</w:t>
            </w:r>
          </w:p>
        </w:tc>
      </w:tr>
      <w:tr w:rsidR="00AE6271" w14:paraId="613EDB37" w14:textId="77777777">
        <w:trPr>
          <w:jc w:val="center"/>
        </w:trPr>
        <w:tc>
          <w:tcPr>
            <w:tcW w:w="2232" w:type="dxa"/>
          </w:tcPr>
          <w:p w14:paraId="2D33D1B2" w14:textId="77777777" w:rsidR="00AE6271" w:rsidRDefault="00000000">
            <w:pPr>
              <w:spacing w:before="20" w:after="20"/>
            </w:pPr>
            <w:r>
              <w:rPr>
                <w:color w:val="000000"/>
                <w:sz w:val="19"/>
              </w:rPr>
              <w:t>elastic_net</w:t>
            </w:r>
          </w:p>
        </w:tc>
        <w:tc>
          <w:tcPr>
            <w:tcW w:w="2160" w:type="dxa"/>
          </w:tcPr>
          <w:p w14:paraId="38006318" w14:textId="77777777" w:rsidR="00AE6271" w:rsidRDefault="00000000">
            <w:pPr>
              <w:spacing w:before="20" w:after="20"/>
            </w:pPr>
            <w:r>
              <w:rPr>
                <w:color w:val="000000"/>
                <w:sz w:val="19"/>
              </w:rPr>
              <w:t>0.2104 +/- 0.0224</w:t>
            </w:r>
          </w:p>
        </w:tc>
        <w:tc>
          <w:tcPr>
            <w:tcW w:w="1181" w:type="dxa"/>
          </w:tcPr>
          <w:p w14:paraId="01E669DD" w14:textId="77777777" w:rsidR="00AE6271" w:rsidRDefault="00000000">
            <w:pPr>
              <w:spacing w:before="20" w:after="20"/>
            </w:pPr>
            <w:r>
              <w:rPr>
                <w:color w:val="000000"/>
                <w:sz w:val="19"/>
              </w:rPr>
              <w:t>0.1776</w:t>
            </w:r>
          </w:p>
        </w:tc>
        <w:tc>
          <w:tcPr>
            <w:tcW w:w="1238" w:type="dxa"/>
          </w:tcPr>
          <w:p w14:paraId="7F77E41A" w14:textId="77777777" w:rsidR="00AE6271" w:rsidRDefault="00000000">
            <w:pPr>
              <w:spacing w:before="20" w:after="20"/>
            </w:pPr>
            <w:r>
              <w:rPr>
                <w:color w:val="000000"/>
                <w:sz w:val="19"/>
              </w:rPr>
              <w:t>6.93</w:t>
            </w:r>
          </w:p>
        </w:tc>
        <w:tc>
          <w:tcPr>
            <w:tcW w:w="1123" w:type="dxa"/>
          </w:tcPr>
          <w:p w14:paraId="3576A8B8" w14:textId="77777777" w:rsidR="00AE6271" w:rsidRDefault="00000000">
            <w:pPr>
              <w:spacing w:before="20" w:after="20"/>
            </w:pPr>
            <w:r>
              <w:rPr>
                <w:color w:val="000000"/>
                <w:sz w:val="19"/>
              </w:rPr>
              <w:t>4.71</w:t>
            </w:r>
          </w:p>
        </w:tc>
        <w:tc>
          <w:tcPr>
            <w:tcW w:w="1210" w:type="dxa"/>
          </w:tcPr>
          <w:p w14:paraId="24335B36" w14:textId="77777777" w:rsidR="00AE6271" w:rsidRDefault="00000000">
            <w:pPr>
              <w:spacing w:before="20" w:after="20"/>
            </w:pPr>
            <w:r>
              <w:rPr>
                <w:color w:val="000000"/>
                <w:sz w:val="19"/>
              </w:rPr>
              <w:t>0.0974</w:t>
            </w:r>
          </w:p>
        </w:tc>
      </w:tr>
      <w:tr w:rsidR="00AE6271" w14:paraId="03509B3A" w14:textId="77777777">
        <w:trPr>
          <w:jc w:val="center"/>
        </w:trPr>
        <w:tc>
          <w:tcPr>
            <w:tcW w:w="2232" w:type="dxa"/>
          </w:tcPr>
          <w:p w14:paraId="436CBA73" w14:textId="77777777" w:rsidR="00AE6271" w:rsidRDefault="00000000">
            <w:pPr>
              <w:spacing w:before="20" w:after="20"/>
            </w:pPr>
            <w:r>
              <w:rPr>
                <w:color w:val="000000"/>
                <w:sz w:val="19"/>
              </w:rPr>
              <w:t>svm (RBF)</w:t>
            </w:r>
          </w:p>
        </w:tc>
        <w:tc>
          <w:tcPr>
            <w:tcW w:w="2160" w:type="dxa"/>
          </w:tcPr>
          <w:p w14:paraId="3D39B614" w14:textId="77777777" w:rsidR="00AE6271" w:rsidRDefault="00000000">
            <w:pPr>
              <w:spacing w:before="20" w:after="20"/>
            </w:pPr>
            <w:r>
              <w:rPr>
                <w:color w:val="000000"/>
                <w:sz w:val="19"/>
              </w:rPr>
              <w:t>0.0603 +/- 0.0074</w:t>
            </w:r>
          </w:p>
        </w:tc>
        <w:tc>
          <w:tcPr>
            <w:tcW w:w="1181" w:type="dxa"/>
          </w:tcPr>
          <w:p w14:paraId="6A0AF11C" w14:textId="77777777" w:rsidR="00AE6271" w:rsidRDefault="00000000">
            <w:pPr>
              <w:spacing w:before="20" w:after="20"/>
            </w:pPr>
            <w:r>
              <w:rPr>
                <w:color w:val="000000"/>
                <w:sz w:val="19"/>
              </w:rPr>
              <w:t>0.0552</w:t>
            </w:r>
          </w:p>
        </w:tc>
        <w:tc>
          <w:tcPr>
            <w:tcW w:w="1238" w:type="dxa"/>
          </w:tcPr>
          <w:p w14:paraId="40D0A2D4" w14:textId="77777777" w:rsidR="00AE6271" w:rsidRDefault="00000000">
            <w:pPr>
              <w:spacing w:before="20" w:after="20"/>
            </w:pPr>
            <w:r>
              <w:rPr>
                <w:color w:val="000000"/>
                <w:sz w:val="19"/>
              </w:rPr>
              <w:t>7.16</w:t>
            </w:r>
          </w:p>
        </w:tc>
        <w:tc>
          <w:tcPr>
            <w:tcW w:w="1123" w:type="dxa"/>
          </w:tcPr>
          <w:p w14:paraId="1F0368D3" w14:textId="77777777" w:rsidR="00AE6271" w:rsidRDefault="00000000">
            <w:pPr>
              <w:spacing w:before="20" w:after="20"/>
            </w:pPr>
            <w:r>
              <w:rPr>
                <w:color w:val="000000"/>
                <w:sz w:val="19"/>
              </w:rPr>
              <w:t>4.76</w:t>
            </w:r>
          </w:p>
        </w:tc>
        <w:tc>
          <w:tcPr>
            <w:tcW w:w="1210" w:type="dxa"/>
          </w:tcPr>
          <w:p w14:paraId="60D916E8" w14:textId="77777777" w:rsidR="00AE6271" w:rsidRDefault="00000000">
            <w:pPr>
              <w:spacing w:before="20" w:after="20"/>
            </w:pPr>
            <w:r>
              <w:rPr>
                <w:color w:val="000000"/>
                <w:sz w:val="19"/>
              </w:rPr>
              <w:t>0.0342</w:t>
            </w:r>
          </w:p>
        </w:tc>
      </w:tr>
      <w:tr w:rsidR="00AE6271" w14:paraId="74639819" w14:textId="77777777">
        <w:trPr>
          <w:jc w:val="center"/>
        </w:trPr>
        <w:tc>
          <w:tcPr>
            <w:tcW w:w="2232" w:type="dxa"/>
          </w:tcPr>
          <w:p w14:paraId="465FA47C" w14:textId="77777777" w:rsidR="00AE6271" w:rsidRDefault="00000000">
            <w:pPr>
              <w:spacing w:before="20" w:after="20"/>
            </w:pPr>
            <w:r>
              <w:rPr>
                <w:color w:val="000000"/>
                <w:sz w:val="19"/>
              </w:rPr>
              <w:t>knn</w:t>
            </w:r>
          </w:p>
        </w:tc>
        <w:tc>
          <w:tcPr>
            <w:tcW w:w="2160" w:type="dxa"/>
          </w:tcPr>
          <w:p w14:paraId="5E360D87" w14:textId="77777777" w:rsidR="00AE6271" w:rsidRDefault="00000000">
            <w:pPr>
              <w:spacing w:before="20" w:after="20"/>
            </w:pPr>
            <w:r>
              <w:rPr>
                <w:color w:val="000000"/>
                <w:sz w:val="19"/>
              </w:rPr>
              <w:t>0.0783 +/- 0.0206</w:t>
            </w:r>
          </w:p>
        </w:tc>
        <w:tc>
          <w:tcPr>
            <w:tcW w:w="1181" w:type="dxa"/>
          </w:tcPr>
          <w:p w14:paraId="5AB1D4C6" w14:textId="77777777" w:rsidR="00AE6271" w:rsidRDefault="00000000">
            <w:pPr>
              <w:spacing w:before="20" w:after="20"/>
            </w:pPr>
            <w:r>
              <w:rPr>
                <w:color w:val="000000"/>
                <w:sz w:val="19"/>
              </w:rPr>
              <w:t>0.0464</w:t>
            </w:r>
          </w:p>
        </w:tc>
        <w:tc>
          <w:tcPr>
            <w:tcW w:w="1238" w:type="dxa"/>
          </w:tcPr>
          <w:p w14:paraId="733C9CDF" w14:textId="77777777" w:rsidR="00AE6271" w:rsidRDefault="00000000">
            <w:pPr>
              <w:spacing w:before="20" w:after="20"/>
            </w:pPr>
            <w:r>
              <w:rPr>
                <w:color w:val="000000"/>
                <w:sz w:val="19"/>
              </w:rPr>
              <w:t>7.40</w:t>
            </w:r>
          </w:p>
        </w:tc>
        <w:tc>
          <w:tcPr>
            <w:tcW w:w="1123" w:type="dxa"/>
          </w:tcPr>
          <w:p w14:paraId="775B1B42" w14:textId="77777777" w:rsidR="00AE6271" w:rsidRDefault="00000000">
            <w:pPr>
              <w:spacing w:before="20" w:after="20"/>
            </w:pPr>
            <w:r>
              <w:rPr>
                <w:color w:val="000000"/>
                <w:sz w:val="19"/>
              </w:rPr>
              <w:t>4.98</w:t>
            </w:r>
          </w:p>
        </w:tc>
        <w:tc>
          <w:tcPr>
            <w:tcW w:w="1210" w:type="dxa"/>
          </w:tcPr>
          <w:p w14:paraId="7D31A3BE" w14:textId="77777777" w:rsidR="00AE6271" w:rsidRDefault="00000000">
            <w:pPr>
              <w:spacing w:before="20" w:after="20"/>
            </w:pPr>
            <w:r>
              <w:rPr>
                <w:color w:val="000000"/>
                <w:sz w:val="19"/>
              </w:rPr>
              <w:t>-0.0296</w:t>
            </w:r>
          </w:p>
        </w:tc>
      </w:tr>
      <w:tr w:rsidR="00AE6271" w14:paraId="6A48C9B9" w14:textId="77777777">
        <w:trPr>
          <w:jc w:val="center"/>
        </w:trPr>
        <w:tc>
          <w:tcPr>
            <w:tcW w:w="2232" w:type="dxa"/>
          </w:tcPr>
          <w:p w14:paraId="2BCEDC76" w14:textId="77777777" w:rsidR="00AE6271" w:rsidRDefault="00000000">
            <w:pPr>
              <w:spacing w:before="20" w:after="20"/>
            </w:pPr>
            <w:r>
              <w:rPr>
                <w:color w:val="000000"/>
                <w:sz w:val="19"/>
              </w:rPr>
              <w:t>random_forest</w:t>
            </w:r>
          </w:p>
        </w:tc>
        <w:tc>
          <w:tcPr>
            <w:tcW w:w="2160" w:type="dxa"/>
          </w:tcPr>
          <w:p w14:paraId="39EC6B91" w14:textId="77777777" w:rsidR="00AE6271" w:rsidRDefault="00000000">
            <w:pPr>
              <w:spacing w:before="20" w:after="20"/>
            </w:pPr>
            <w:r>
              <w:rPr>
                <w:color w:val="000000"/>
                <w:sz w:val="19"/>
              </w:rPr>
              <w:t>0.0993 +/- 0.0151</w:t>
            </w:r>
          </w:p>
        </w:tc>
        <w:tc>
          <w:tcPr>
            <w:tcW w:w="1181" w:type="dxa"/>
          </w:tcPr>
          <w:p w14:paraId="3DE76534" w14:textId="77777777" w:rsidR="00AE6271" w:rsidRDefault="00000000">
            <w:pPr>
              <w:spacing w:before="20" w:after="20"/>
            </w:pPr>
            <w:r>
              <w:rPr>
                <w:color w:val="000000"/>
                <w:sz w:val="19"/>
              </w:rPr>
              <w:t>0.0821</w:t>
            </w:r>
          </w:p>
        </w:tc>
        <w:tc>
          <w:tcPr>
            <w:tcW w:w="1238" w:type="dxa"/>
          </w:tcPr>
          <w:p w14:paraId="71225953" w14:textId="77777777" w:rsidR="00AE6271" w:rsidRDefault="00000000">
            <w:pPr>
              <w:spacing w:before="20" w:after="20"/>
            </w:pPr>
            <w:r>
              <w:rPr>
                <w:color w:val="000000"/>
                <w:sz w:val="19"/>
              </w:rPr>
              <w:t>7.07</w:t>
            </w:r>
          </w:p>
        </w:tc>
        <w:tc>
          <w:tcPr>
            <w:tcW w:w="1123" w:type="dxa"/>
          </w:tcPr>
          <w:p w14:paraId="4DC9B266" w14:textId="77777777" w:rsidR="00AE6271" w:rsidRDefault="00000000">
            <w:pPr>
              <w:spacing w:before="20" w:after="20"/>
            </w:pPr>
            <w:r>
              <w:rPr>
                <w:color w:val="000000"/>
                <w:sz w:val="19"/>
              </w:rPr>
              <w:t>4.73</w:t>
            </w:r>
          </w:p>
        </w:tc>
        <w:tc>
          <w:tcPr>
            <w:tcW w:w="1210" w:type="dxa"/>
          </w:tcPr>
          <w:p w14:paraId="4DCDC699" w14:textId="77777777" w:rsidR="00AE6271" w:rsidRDefault="00000000">
            <w:pPr>
              <w:spacing w:before="20" w:after="20"/>
            </w:pPr>
            <w:r>
              <w:rPr>
                <w:color w:val="000000"/>
                <w:sz w:val="19"/>
              </w:rPr>
              <w:t>0.0603</w:t>
            </w:r>
          </w:p>
        </w:tc>
      </w:tr>
      <w:tr w:rsidR="00AE6271" w14:paraId="797B716C" w14:textId="77777777">
        <w:trPr>
          <w:jc w:val="center"/>
        </w:trPr>
        <w:tc>
          <w:tcPr>
            <w:tcW w:w="2232" w:type="dxa"/>
          </w:tcPr>
          <w:p w14:paraId="056FBEDD" w14:textId="77777777" w:rsidR="00AE6271" w:rsidRDefault="00000000">
            <w:pPr>
              <w:spacing w:before="20" w:after="20"/>
            </w:pPr>
            <w:r>
              <w:rPr>
                <w:color w:val="000000"/>
                <w:sz w:val="19"/>
              </w:rPr>
              <w:t>extra_trees</w:t>
            </w:r>
          </w:p>
        </w:tc>
        <w:tc>
          <w:tcPr>
            <w:tcW w:w="2160" w:type="dxa"/>
          </w:tcPr>
          <w:p w14:paraId="2AF9D30B" w14:textId="77777777" w:rsidR="00AE6271" w:rsidRDefault="00000000">
            <w:pPr>
              <w:spacing w:before="20" w:after="20"/>
            </w:pPr>
            <w:r>
              <w:rPr>
                <w:color w:val="000000"/>
                <w:sz w:val="19"/>
              </w:rPr>
              <w:t>0.0635 +/- 0.0105</w:t>
            </w:r>
          </w:p>
        </w:tc>
        <w:tc>
          <w:tcPr>
            <w:tcW w:w="1181" w:type="dxa"/>
          </w:tcPr>
          <w:p w14:paraId="4D220DA9" w14:textId="77777777" w:rsidR="00AE6271" w:rsidRDefault="00000000">
            <w:pPr>
              <w:spacing w:before="20" w:after="20"/>
            </w:pPr>
            <w:r>
              <w:rPr>
                <w:color w:val="000000"/>
                <w:sz w:val="19"/>
              </w:rPr>
              <w:t>0.0511</w:t>
            </w:r>
          </w:p>
        </w:tc>
        <w:tc>
          <w:tcPr>
            <w:tcW w:w="1238" w:type="dxa"/>
          </w:tcPr>
          <w:p w14:paraId="2E72DCDE" w14:textId="77777777" w:rsidR="00AE6271" w:rsidRDefault="00000000">
            <w:pPr>
              <w:spacing w:before="20" w:after="20"/>
            </w:pPr>
            <w:r>
              <w:rPr>
                <w:color w:val="000000"/>
                <w:sz w:val="19"/>
              </w:rPr>
              <w:t>7.14</w:t>
            </w:r>
          </w:p>
        </w:tc>
        <w:tc>
          <w:tcPr>
            <w:tcW w:w="1123" w:type="dxa"/>
          </w:tcPr>
          <w:p w14:paraId="07900DA3" w14:textId="77777777" w:rsidR="00AE6271" w:rsidRDefault="00000000">
            <w:pPr>
              <w:spacing w:before="20" w:after="20"/>
            </w:pPr>
            <w:r>
              <w:rPr>
                <w:color w:val="000000"/>
                <w:sz w:val="19"/>
              </w:rPr>
              <w:t>4.76</w:t>
            </w:r>
          </w:p>
        </w:tc>
        <w:tc>
          <w:tcPr>
            <w:tcW w:w="1210" w:type="dxa"/>
          </w:tcPr>
          <w:p w14:paraId="3C67E9A7" w14:textId="77777777" w:rsidR="00AE6271" w:rsidRDefault="00000000">
            <w:pPr>
              <w:spacing w:before="20" w:after="20"/>
            </w:pPr>
            <w:r>
              <w:rPr>
                <w:color w:val="000000"/>
                <w:sz w:val="19"/>
              </w:rPr>
              <w:t>0.0410</w:t>
            </w:r>
          </w:p>
        </w:tc>
      </w:tr>
      <w:tr w:rsidR="00AE6271" w14:paraId="7EA8BD7D" w14:textId="77777777">
        <w:trPr>
          <w:jc w:val="center"/>
        </w:trPr>
        <w:tc>
          <w:tcPr>
            <w:tcW w:w="2232" w:type="dxa"/>
          </w:tcPr>
          <w:p w14:paraId="0FBB4090" w14:textId="77777777" w:rsidR="00AE6271" w:rsidRDefault="00000000">
            <w:pPr>
              <w:spacing w:before="20" w:after="20"/>
            </w:pPr>
            <w:r>
              <w:rPr>
                <w:color w:val="000000"/>
                <w:sz w:val="19"/>
              </w:rPr>
              <w:t>gradient_boosting</w:t>
            </w:r>
          </w:p>
        </w:tc>
        <w:tc>
          <w:tcPr>
            <w:tcW w:w="2160" w:type="dxa"/>
          </w:tcPr>
          <w:p w14:paraId="1DA87F66" w14:textId="77777777" w:rsidR="00AE6271" w:rsidRDefault="00000000">
            <w:pPr>
              <w:spacing w:before="20" w:after="20"/>
            </w:pPr>
            <w:r>
              <w:rPr>
                <w:color w:val="000000"/>
                <w:sz w:val="19"/>
              </w:rPr>
              <w:t>0.2322 +/- 0.0262</w:t>
            </w:r>
          </w:p>
        </w:tc>
        <w:tc>
          <w:tcPr>
            <w:tcW w:w="1181" w:type="dxa"/>
          </w:tcPr>
          <w:p w14:paraId="642C308A" w14:textId="77777777" w:rsidR="00AE6271" w:rsidRDefault="00000000">
            <w:pPr>
              <w:spacing w:before="20" w:after="20"/>
            </w:pPr>
            <w:r>
              <w:rPr>
                <w:color w:val="000000"/>
                <w:sz w:val="19"/>
              </w:rPr>
              <w:t>0.1911</w:t>
            </w:r>
          </w:p>
        </w:tc>
        <w:tc>
          <w:tcPr>
            <w:tcW w:w="1238" w:type="dxa"/>
          </w:tcPr>
          <w:p w14:paraId="0E4EF8B9" w14:textId="77777777" w:rsidR="00AE6271" w:rsidRDefault="00000000">
            <w:pPr>
              <w:spacing w:before="20" w:after="20"/>
            </w:pPr>
            <w:r>
              <w:rPr>
                <w:color w:val="000000"/>
                <w:sz w:val="19"/>
              </w:rPr>
              <w:t>7.01</w:t>
            </w:r>
          </w:p>
        </w:tc>
        <w:tc>
          <w:tcPr>
            <w:tcW w:w="1123" w:type="dxa"/>
          </w:tcPr>
          <w:p w14:paraId="06A89BD7" w14:textId="77777777" w:rsidR="00AE6271" w:rsidRDefault="00000000">
            <w:pPr>
              <w:spacing w:before="20" w:after="20"/>
            </w:pPr>
            <w:r>
              <w:rPr>
                <w:color w:val="000000"/>
                <w:sz w:val="19"/>
              </w:rPr>
              <w:t>4.74</w:t>
            </w:r>
          </w:p>
        </w:tc>
        <w:tc>
          <w:tcPr>
            <w:tcW w:w="1210" w:type="dxa"/>
          </w:tcPr>
          <w:p w14:paraId="0D6F374A" w14:textId="77777777" w:rsidR="00AE6271" w:rsidRDefault="00000000">
            <w:pPr>
              <w:spacing w:before="20" w:after="20"/>
            </w:pPr>
            <w:r>
              <w:rPr>
                <w:color w:val="000000"/>
                <w:sz w:val="19"/>
              </w:rPr>
              <w:t>0.0758</w:t>
            </w:r>
          </w:p>
        </w:tc>
      </w:tr>
      <w:tr w:rsidR="00AE6271" w14:paraId="3BA817EF" w14:textId="77777777">
        <w:trPr>
          <w:jc w:val="center"/>
        </w:trPr>
        <w:tc>
          <w:tcPr>
            <w:tcW w:w="2232" w:type="dxa"/>
          </w:tcPr>
          <w:p w14:paraId="2A7A59AD" w14:textId="77777777" w:rsidR="00AE6271" w:rsidRDefault="00000000">
            <w:pPr>
              <w:spacing w:before="20" w:after="20"/>
            </w:pPr>
            <w:r>
              <w:rPr>
                <w:color w:val="000000"/>
                <w:sz w:val="19"/>
              </w:rPr>
              <w:t>mlp</w:t>
            </w:r>
          </w:p>
        </w:tc>
        <w:tc>
          <w:tcPr>
            <w:tcW w:w="2160" w:type="dxa"/>
          </w:tcPr>
          <w:p w14:paraId="32CEFFAA" w14:textId="77777777" w:rsidR="00AE6271" w:rsidRDefault="00000000">
            <w:pPr>
              <w:spacing w:before="20" w:after="20"/>
            </w:pPr>
            <w:r>
              <w:rPr>
                <w:color w:val="000000"/>
                <w:sz w:val="19"/>
              </w:rPr>
              <w:t>0.1400 +/- 0.0751</w:t>
            </w:r>
          </w:p>
        </w:tc>
        <w:tc>
          <w:tcPr>
            <w:tcW w:w="1181" w:type="dxa"/>
          </w:tcPr>
          <w:p w14:paraId="4A32F0FA" w14:textId="77777777" w:rsidR="00AE6271" w:rsidRDefault="00000000">
            <w:pPr>
              <w:spacing w:before="20" w:after="20"/>
            </w:pPr>
            <w:r>
              <w:rPr>
                <w:color w:val="000000"/>
                <w:sz w:val="19"/>
              </w:rPr>
              <w:t>0.1924</w:t>
            </w:r>
          </w:p>
        </w:tc>
        <w:tc>
          <w:tcPr>
            <w:tcW w:w="1238" w:type="dxa"/>
          </w:tcPr>
          <w:p w14:paraId="1F5386F5" w14:textId="77777777" w:rsidR="00AE6271" w:rsidRDefault="00000000">
            <w:pPr>
              <w:spacing w:before="20" w:after="20"/>
            </w:pPr>
            <w:r>
              <w:rPr>
                <w:color w:val="000000"/>
                <w:sz w:val="19"/>
              </w:rPr>
              <w:t>7.10</w:t>
            </w:r>
          </w:p>
        </w:tc>
        <w:tc>
          <w:tcPr>
            <w:tcW w:w="1123" w:type="dxa"/>
          </w:tcPr>
          <w:p w14:paraId="626D1A34" w14:textId="77777777" w:rsidR="00AE6271" w:rsidRDefault="00000000">
            <w:pPr>
              <w:spacing w:before="20" w:after="20"/>
            </w:pPr>
            <w:r>
              <w:rPr>
                <w:color w:val="000000"/>
                <w:sz w:val="19"/>
              </w:rPr>
              <w:t>4.93</w:t>
            </w:r>
          </w:p>
        </w:tc>
        <w:tc>
          <w:tcPr>
            <w:tcW w:w="1210" w:type="dxa"/>
          </w:tcPr>
          <w:p w14:paraId="0E931562" w14:textId="77777777" w:rsidR="00AE6271" w:rsidRDefault="00000000">
            <w:pPr>
              <w:spacing w:before="20" w:after="20"/>
            </w:pPr>
            <w:r>
              <w:rPr>
                <w:color w:val="000000"/>
                <w:sz w:val="19"/>
              </w:rPr>
              <w:t>0.0518</w:t>
            </w:r>
          </w:p>
        </w:tc>
      </w:tr>
      <w:tr w:rsidR="00AE6271" w14:paraId="0934AFAC" w14:textId="77777777">
        <w:trPr>
          <w:jc w:val="center"/>
        </w:trPr>
        <w:tc>
          <w:tcPr>
            <w:tcW w:w="2232" w:type="dxa"/>
          </w:tcPr>
          <w:p w14:paraId="3AAB02AB" w14:textId="77777777" w:rsidR="00AE6271" w:rsidRDefault="00000000">
            <w:pPr>
              <w:spacing w:before="20" w:after="20"/>
            </w:pPr>
            <w:r>
              <w:rPr>
                <w:color w:val="000000"/>
                <w:sz w:val="19"/>
              </w:rPr>
              <w:t>xgboost</w:t>
            </w:r>
          </w:p>
        </w:tc>
        <w:tc>
          <w:tcPr>
            <w:tcW w:w="2160" w:type="dxa"/>
          </w:tcPr>
          <w:p w14:paraId="4D92219A" w14:textId="77777777" w:rsidR="00AE6271" w:rsidRDefault="00000000">
            <w:pPr>
              <w:spacing w:before="20" w:after="20"/>
            </w:pPr>
            <w:r>
              <w:rPr>
                <w:color w:val="000000"/>
                <w:sz w:val="19"/>
              </w:rPr>
              <w:t>0.2401 +/- 0.0302</w:t>
            </w:r>
          </w:p>
        </w:tc>
        <w:tc>
          <w:tcPr>
            <w:tcW w:w="1181" w:type="dxa"/>
          </w:tcPr>
          <w:p w14:paraId="7A1FF5B8" w14:textId="77777777" w:rsidR="00AE6271" w:rsidRDefault="00000000">
            <w:pPr>
              <w:spacing w:before="20" w:after="20"/>
            </w:pPr>
            <w:r>
              <w:rPr>
                <w:color w:val="000000"/>
                <w:sz w:val="19"/>
              </w:rPr>
              <w:t>0.2135</w:t>
            </w:r>
          </w:p>
        </w:tc>
        <w:tc>
          <w:tcPr>
            <w:tcW w:w="1238" w:type="dxa"/>
          </w:tcPr>
          <w:p w14:paraId="37229FD0" w14:textId="77777777" w:rsidR="00AE6271" w:rsidRDefault="00000000">
            <w:pPr>
              <w:spacing w:before="20" w:after="20"/>
            </w:pPr>
            <w:r>
              <w:rPr>
                <w:color w:val="000000"/>
                <w:sz w:val="19"/>
              </w:rPr>
              <w:t>6.96</w:t>
            </w:r>
          </w:p>
        </w:tc>
        <w:tc>
          <w:tcPr>
            <w:tcW w:w="1123" w:type="dxa"/>
          </w:tcPr>
          <w:p w14:paraId="4659ADBA" w14:textId="77777777" w:rsidR="00AE6271" w:rsidRDefault="00000000">
            <w:pPr>
              <w:spacing w:before="20" w:after="20"/>
            </w:pPr>
            <w:r>
              <w:rPr>
                <w:color w:val="000000"/>
                <w:sz w:val="19"/>
              </w:rPr>
              <w:t>4.67</w:t>
            </w:r>
          </w:p>
        </w:tc>
        <w:tc>
          <w:tcPr>
            <w:tcW w:w="1210" w:type="dxa"/>
          </w:tcPr>
          <w:p w14:paraId="796A9720" w14:textId="77777777" w:rsidR="00AE6271" w:rsidRDefault="00000000">
            <w:pPr>
              <w:spacing w:before="20" w:after="20"/>
            </w:pPr>
            <w:r>
              <w:rPr>
                <w:color w:val="000000"/>
                <w:sz w:val="19"/>
              </w:rPr>
              <w:t>0.0883</w:t>
            </w:r>
          </w:p>
        </w:tc>
      </w:tr>
      <w:tr w:rsidR="00AE6271" w14:paraId="4D0BBDE0" w14:textId="77777777">
        <w:trPr>
          <w:jc w:val="center"/>
        </w:trPr>
        <w:tc>
          <w:tcPr>
            <w:tcW w:w="2232" w:type="dxa"/>
          </w:tcPr>
          <w:p w14:paraId="45441580" w14:textId="77777777" w:rsidR="00AE6271" w:rsidRDefault="00000000">
            <w:pPr>
              <w:spacing w:before="20" w:after="20"/>
            </w:pPr>
            <w:r>
              <w:rPr>
                <w:color w:val="000000"/>
                <w:sz w:val="19"/>
              </w:rPr>
              <w:t>lightgbm (strongest)</w:t>
            </w:r>
          </w:p>
        </w:tc>
        <w:tc>
          <w:tcPr>
            <w:tcW w:w="2160" w:type="dxa"/>
          </w:tcPr>
          <w:p w14:paraId="5FF9BC4B" w14:textId="77777777" w:rsidR="00AE6271" w:rsidRDefault="00000000">
            <w:pPr>
              <w:spacing w:before="20" w:after="20"/>
            </w:pPr>
            <w:r>
              <w:rPr>
                <w:color w:val="000000"/>
                <w:sz w:val="19"/>
              </w:rPr>
              <w:t>0.2253 +/- 0.0213</w:t>
            </w:r>
          </w:p>
        </w:tc>
        <w:tc>
          <w:tcPr>
            <w:tcW w:w="1181" w:type="dxa"/>
          </w:tcPr>
          <w:p w14:paraId="0AB97F90" w14:textId="77777777" w:rsidR="00AE6271" w:rsidRDefault="00000000">
            <w:pPr>
              <w:spacing w:before="20" w:after="20"/>
            </w:pPr>
            <w:r>
              <w:rPr>
                <w:color w:val="000000"/>
                <w:sz w:val="19"/>
              </w:rPr>
              <w:t>0.2300</w:t>
            </w:r>
          </w:p>
        </w:tc>
        <w:tc>
          <w:tcPr>
            <w:tcW w:w="1238" w:type="dxa"/>
          </w:tcPr>
          <w:p w14:paraId="095F6386" w14:textId="77777777" w:rsidR="00AE6271" w:rsidRDefault="00000000">
            <w:pPr>
              <w:spacing w:before="20" w:after="20"/>
            </w:pPr>
            <w:r>
              <w:rPr>
                <w:color w:val="000000"/>
                <w:sz w:val="19"/>
              </w:rPr>
              <w:t>6.94</w:t>
            </w:r>
          </w:p>
        </w:tc>
        <w:tc>
          <w:tcPr>
            <w:tcW w:w="1123" w:type="dxa"/>
          </w:tcPr>
          <w:p w14:paraId="2B79C59A" w14:textId="77777777" w:rsidR="00AE6271" w:rsidRDefault="00000000">
            <w:pPr>
              <w:spacing w:before="20" w:after="20"/>
            </w:pPr>
            <w:r>
              <w:rPr>
                <w:color w:val="000000"/>
                <w:sz w:val="19"/>
              </w:rPr>
              <w:t>4.67</w:t>
            </w:r>
          </w:p>
        </w:tc>
        <w:tc>
          <w:tcPr>
            <w:tcW w:w="1210" w:type="dxa"/>
          </w:tcPr>
          <w:p w14:paraId="799E6814" w14:textId="77777777" w:rsidR="00AE6271" w:rsidRDefault="00000000">
            <w:pPr>
              <w:spacing w:before="20" w:after="20"/>
            </w:pPr>
            <w:r>
              <w:rPr>
                <w:color w:val="000000"/>
                <w:sz w:val="19"/>
              </w:rPr>
              <w:t>0.0931</w:t>
            </w:r>
          </w:p>
        </w:tc>
      </w:tr>
      <w:tr w:rsidR="00AE6271" w14:paraId="35B3DC3F" w14:textId="77777777">
        <w:trPr>
          <w:jc w:val="center"/>
        </w:trPr>
        <w:tc>
          <w:tcPr>
            <w:tcW w:w="2232" w:type="dxa"/>
          </w:tcPr>
          <w:p w14:paraId="568028E5" w14:textId="77777777" w:rsidR="00AE6271" w:rsidRDefault="00000000">
            <w:pPr>
              <w:spacing w:before="20" w:after="20"/>
            </w:pPr>
            <w:r>
              <w:rPr>
                <w:color w:val="000000"/>
                <w:sz w:val="19"/>
              </w:rPr>
              <w:t>Fed-PhenoGraft (ours)</w:t>
            </w:r>
          </w:p>
        </w:tc>
        <w:tc>
          <w:tcPr>
            <w:tcW w:w="2160" w:type="dxa"/>
          </w:tcPr>
          <w:p w14:paraId="0DADAFF6" w14:textId="77777777" w:rsidR="00AE6271" w:rsidRDefault="00000000">
            <w:pPr>
              <w:spacing w:before="20" w:after="20"/>
            </w:pPr>
            <w:r>
              <w:rPr>
                <w:color w:val="000000"/>
                <w:sz w:val="19"/>
              </w:rPr>
              <w:t>val 0.3591 (early-stopped)</w:t>
            </w:r>
          </w:p>
        </w:tc>
        <w:tc>
          <w:tcPr>
            <w:tcW w:w="1181" w:type="dxa"/>
          </w:tcPr>
          <w:p w14:paraId="5B4430E1" w14:textId="77777777" w:rsidR="00AE6271" w:rsidRDefault="00000000">
            <w:pPr>
              <w:spacing w:before="20" w:after="20"/>
            </w:pPr>
            <w:r>
              <w:rPr>
                <w:color w:val="000000"/>
                <w:sz w:val="19"/>
              </w:rPr>
              <w:t>0.1469</w:t>
            </w:r>
          </w:p>
        </w:tc>
        <w:tc>
          <w:tcPr>
            <w:tcW w:w="1238" w:type="dxa"/>
          </w:tcPr>
          <w:p w14:paraId="621410A3" w14:textId="77777777" w:rsidR="00AE6271" w:rsidRDefault="00000000">
            <w:pPr>
              <w:spacing w:before="20" w:after="20"/>
            </w:pPr>
            <w:r>
              <w:rPr>
                <w:color w:val="000000"/>
                <w:sz w:val="19"/>
              </w:rPr>
              <w:t>7.64</w:t>
            </w:r>
          </w:p>
        </w:tc>
        <w:tc>
          <w:tcPr>
            <w:tcW w:w="1123" w:type="dxa"/>
          </w:tcPr>
          <w:p w14:paraId="36CF2272" w14:textId="77777777" w:rsidR="00AE6271" w:rsidRDefault="00000000">
            <w:pPr>
              <w:spacing w:before="20" w:after="20"/>
            </w:pPr>
            <w:r>
              <w:rPr>
                <w:color w:val="000000"/>
                <w:sz w:val="19"/>
              </w:rPr>
              <w:t>5.14</w:t>
            </w:r>
          </w:p>
        </w:tc>
        <w:tc>
          <w:tcPr>
            <w:tcW w:w="1210" w:type="dxa"/>
          </w:tcPr>
          <w:p w14:paraId="4369321A" w14:textId="77777777" w:rsidR="00AE6271" w:rsidRDefault="00000000">
            <w:pPr>
              <w:spacing w:before="20" w:after="20"/>
            </w:pPr>
            <w:r>
              <w:rPr>
                <w:color w:val="000000"/>
                <w:sz w:val="19"/>
              </w:rPr>
              <w:t>-0.0993</w:t>
            </w:r>
          </w:p>
        </w:tc>
      </w:tr>
    </w:tbl>
    <w:p w14:paraId="50153DB2" w14:textId="77777777" w:rsidR="00AE6271" w:rsidRDefault="00000000">
      <w:pPr>
        <w:spacing w:before="40" w:after="240"/>
        <w:jc w:val="center"/>
      </w:pPr>
      <w:r>
        <w:rPr>
          <w:i/>
          <w:color w:val="595959"/>
          <w:sz w:val="22"/>
        </w:rPr>
        <w:t>Table 8. Progression prediction: twelve baselines versus Fed-PhenoGraft on the same held-out test set.</w:t>
      </w:r>
    </w:p>
    <w:p w14:paraId="59ECA337" w14:textId="77777777" w:rsidR="00AE6271" w:rsidRDefault="00000000">
      <w:pPr>
        <w:keepNext/>
        <w:spacing w:before="160" w:after="40"/>
        <w:jc w:val="center"/>
      </w:pPr>
      <w:r>
        <w:rPr>
          <w:noProof/>
        </w:rPr>
        <w:lastRenderedPageBreak/>
        <w:drawing>
          <wp:inline distT="0" distB="0" distL="0" distR="0" wp14:anchorId="0471FAC9" wp14:editId="23AEB582">
            <wp:extent cx="5486400" cy="21101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0"/>
                    <a:stretch>
                      <a:fillRect/>
                    </a:stretch>
                  </pic:blipFill>
                  <pic:spPr>
                    <a:xfrm>
                      <a:off x="0" y="0"/>
                      <a:ext cx="5486400" cy="2110154"/>
                    </a:xfrm>
                    <a:prstGeom prst="rect">
                      <a:avLst/>
                    </a:prstGeom>
                  </pic:spPr>
                </pic:pic>
              </a:graphicData>
            </a:graphic>
          </wp:inline>
        </w:drawing>
      </w:r>
    </w:p>
    <w:p w14:paraId="663E4EBE" w14:textId="77777777" w:rsidR="00AE6271" w:rsidRDefault="00000000">
      <w:pPr>
        <w:spacing w:before="40" w:after="240"/>
        <w:jc w:val="center"/>
      </w:pPr>
      <w:r>
        <w:rPr>
          <w:i/>
          <w:color w:val="595959"/>
          <w:sz w:val="22"/>
        </w:rPr>
        <w:t>Fig. 10. Held-out test CCC for all twelve baselines and Fed-PhenoGraft.</w:t>
      </w:r>
    </w:p>
    <w:p w14:paraId="7F5FC016" w14:textId="77777777" w:rsidR="00AE6271" w:rsidRDefault="00000000">
      <w:pPr>
        <w:spacing w:after="120" w:line="276" w:lineRule="auto"/>
        <w:jc w:val="both"/>
      </w:pPr>
      <w:r>
        <w:rPr>
          <w:color w:val="000000"/>
        </w:rPr>
        <w:t>Ablation study. Each variant was retrained from scratch under the same protocol. Asymmetric attention and the HSIC penalty each contribute positively on the validation set, and the centralised control shows that federation imposes no measurable cost, which supports the privacy claim. Removing DaTScan produces the largest degradation on both tasks, identifying it as the most valuable auxiliary modality. Most informatively, removing the MRI branch raises the test CCC from 0.147 to 0.224: because that branch currently carries synthetic values, the ablation quantifies the cost of the missing real imaging data at approximately 0.077 CCC and converts an outstanding data dependency into a measured result.</w:t>
      </w:r>
    </w:p>
    <w:tbl>
      <w:tblPr>
        <w:tblStyle w:val="TableGrid"/>
        <w:tblW w:w="0" w:type="auto"/>
        <w:jc w:val="center"/>
        <w:tblLayout w:type="fixed"/>
        <w:tblLook w:val="04A0" w:firstRow="1" w:lastRow="0" w:firstColumn="1" w:lastColumn="0" w:noHBand="0" w:noVBand="1"/>
      </w:tblPr>
      <w:tblGrid>
        <w:gridCol w:w="2376"/>
        <w:gridCol w:w="1008"/>
        <w:gridCol w:w="1080"/>
        <w:gridCol w:w="1152"/>
        <w:gridCol w:w="1080"/>
        <w:gridCol w:w="2376"/>
      </w:tblGrid>
      <w:tr w:rsidR="00AE6271" w14:paraId="0A60A0B3" w14:textId="77777777">
        <w:trPr>
          <w:jc w:val="center"/>
        </w:trPr>
        <w:tc>
          <w:tcPr>
            <w:tcW w:w="2376" w:type="dxa"/>
            <w:shd w:val="clear" w:color="auto" w:fill="D9E2F3"/>
          </w:tcPr>
          <w:p w14:paraId="17590FDE" w14:textId="77777777" w:rsidR="00AE6271" w:rsidRDefault="00000000">
            <w:pPr>
              <w:spacing w:before="20" w:after="20"/>
            </w:pPr>
            <w:r>
              <w:rPr>
                <w:b/>
                <w:color w:val="000000"/>
                <w:sz w:val="18"/>
              </w:rPr>
              <w:t>Variant</w:t>
            </w:r>
          </w:p>
        </w:tc>
        <w:tc>
          <w:tcPr>
            <w:tcW w:w="1008" w:type="dxa"/>
            <w:shd w:val="clear" w:color="auto" w:fill="D9E2F3"/>
          </w:tcPr>
          <w:p w14:paraId="4EC28580" w14:textId="77777777" w:rsidR="00AE6271" w:rsidRDefault="00000000">
            <w:pPr>
              <w:spacing w:before="20" w:after="20"/>
            </w:pPr>
            <w:r>
              <w:rPr>
                <w:b/>
                <w:color w:val="000000"/>
                <w:sz w:val="18"/>
              </w:rPr>
              <w:t>Val CCC</w:t>
            </w:r>
          </w:p>
        </w:tc>
        <w:tc>
          <w:tcPr>
            <w:tcW w:w="1080" w:type="dxa"/>
            <w:shd w:val="clear" w:color="auto" w:fill="D9E2F3"/>
          </w:tcPr>
          <w:p w14:paraId="17884EC7" w14:textId="77777777" w:rsidR="00AE6271" w:rsidRDefault="00000000">
            <w:pPr>
              <w:spacing w:before="20" w:after="20"/>
            </w:pPr>
            <w:r>
              <w:rPr>
                <w:b/>
                <w:color w:val="000000"/>
                <w:sz w:val="18"/>
              </w:rPr>
              <w:t>Test CCC</w:t>
            </w:r>
          </w:p>
        </w:tc>
        <w:tc>
          <w:tcPr>
            <w:tcW w:w="1152" w:type="dxa"/>
            <w:shd w:val="clear" w:color="auto" w:fill="D9E2F3"/>
          </w:tcPr>
          <w:p w14:paraId="6342E283" w14:textId="77777777" w:rsidR="00AE6271" w:rsidRDefault="00000000">
            <w:pPr>
              <w:spacing w:before="20" w:after="20"/>
            </w:pPr>
            <w:r>
              <w:rPr>
                <w:b/>
                <w:color w:val="000000"/>
                <w:sz w:val="18"/>
              </w:rPr>
              <w:t>Test RMSE</w:t>
            </w:r>
          </w:p>
        </w:tc>
        <w:tc>
          <w:tcPr>
            <w:tcW w:w="1080" w:type="dxa"/>
            <w:shd w:val="clear" w:color="auto" w:fill="D9E2F3"/>
          </w:tcPr>
          <w:p w14:paraId="17F89A9A" w14:textId="77777777" w:rsidR="00AE6271" w:rsidRDefault="00000000">
            <w:pPr>
              <w:spacing w:before="20" w:after="20"/>
            </w:pPr>
            <w:r>
              <w:rPr>
                <w:b/>
                <w:color w:val="000000"/>
                <w:sz w:val="18"/>
              </w:rPr>
              <w:t>Test AUC</w:t>
            </w:r>
          </w:p>
        </w:tc>
        <w:tc>
          <w:tcPr>
            <w:tcW w:w="2376" w:type="dxa"/>
            <w:shd w:val="clear" w:color="auto" w:fill="D9E2F3"/>
          </w:tcPr>
          <w:p w14:paraId="374FC5B6" w14:textId="77777777" w:rsidR="00AE6271" w:rsidRDefault="00000000">
            <w:pPr>
              <w:spacing w:before="20" w:after="20"/>
            </w:pPr>
            <w:r>
              <w:rPr>
                <w:b/>
                <w:color w:val="000000"/>
                <w:sz w:val="18"/>
              </w:rPr>
              <w:t>Reading</w:t>
            </w:r>
          </w:p>
        </w:tc>
      </w:tr>
      <w:tr w:rsidR="00AE6271" w14:paraId="21B39810" w14:textId="77777777">
        <w:trPr>
          <w:jc w:val="center"/>
        </w:trPr>
        <w:tc>
          <w:tcPr>
            <w:tcW w:w="2376" w:type="dxa"/>
          </w:tcPr>
          <w:p w14:paraId="3801B4BE" w14:textId="77777777" w:rsidR="00AE6271" w:rsidRDefault="00000000">
            <w:pPr>
              <w:spacing w:before="20" w:after="20"/>
            </w:pPr>
            <w:r>
              <w:rPr>
                <w:color w:val="000000"/>
                <w:sz w:val="18"/>
              </w:rPr>
              <w:t>Full Fed-PhenoGraft</w:t>
            </w:r>
          </w:p>
        </w:tc>
        <w:tc>
          <w:tcPr>
            <w:tcW w:w="1008" w:type="dxa"/>
          </w:tcPr>
          <w:p w14:paraId="347F9BF7" w14:textId="77777777" w:rsidR="00AE6271" w:rsidRDefault="00000000">
            <w:pPr>
              <w:spacing w:before="20" w:after="20"/>
            </w:pPr>
            <w:r>
              <w:rPr>
                <w:color w:val="000000"/>
                <w:sz w:val="18"/>
              </w:rPr>
              <w:t>0.3591</w:t>
            </w:r>
          </w:p>
        </w:tc>
        <w:tc>
          <w:tcPr>
            <w:tcW w:w="1080" w:type="dxa"/>
          </w:tcPr>
          <w:p w14:paraId="1E8F1C63" w14:textId="77777777" w:rsidR="00AE6271" w:rsidRDefault="00000000">
            <w:pPr>
              <w:spacing w:before="20" w:after="20"/>
            </w:pPr>
            <w:r>
              <w:rPr>
                <w:color w:val="000000"/>
                <w:sz w:val="18"/>
              </w:rPr>
              <w:t>0.1469</w:t>
            </w:r>
          </w:p>
        </w:tc>
        <w:tc>
          <w:tcPr>
            <w:tcW w:w="1152" w:type="dxa"/>
          </w:tcPr>
          <w:p w14:paraId="7340CAA4" w14:textId="77777777" w:rsidR="00AE6271" w:rsidRDefault="00000000">
            <w:pPr>
              <w:spacing w:before="20" w:after="20"/>
            </w:pPr>
            <w:r>
              <w:rPr>
                <w:color w:val="000000"/>
                <w:sz w:val="18"/>
              </w:rPr>
              <w:t>7.64</w:t>
            </w:r>
          </w:p>
        </w:tc>
        <w:tc>
          <w:tcPr>
            <w:tcW w:w="1080" w:type="dxa"/>
          </w:tcPr>
          <w:p w14:paraId="17AAFD20" w14:textId="77777777" w:rsidR="00AE6271" w:rsidRDefault="00000000">
            <w:pPr>
              <w:spacing w:before="20" w:after="20"/>
            </w:pPr>
            <w:r>
              <w:rPr>
                <w:color w:val="000000"/>
                <w:sz w:val="18"/>
              </w:rPr>
              <w:t>0.9816</w:t>
            </w:r>
          </w:p>
        </w:tc>
        <w:tc>
          <w:tcPr>
            <w:tcW w:w="2376" w:type="dxa"/>
          </w:tcPr>
          <w:p w14:paraId="15BD7EBB" w14:textId="77777777" w:rsidR="00AE6271" w:rsidRDefault="00000000">
            <w:pPr>
              <w:spacing w:before="20" w:after="20"/>
            </w:pPr>
            <w:r>
              <w:rPr>
                <w:color w:val="000000"/>
                <w:sz w:val="18"/>
              </w:rPr>
              <w:t>Reference</w:t>
            </w:r>
          </w:p>
        </w:tc>
      </w:tr>
      <w:tr w:rsidR="00AE6271" w14:paraId="732471F7" w14:textId="77777777">
        <w:trPr>
          <w:jc w:val="center"/>
        </w:trPr>
        <w:tc>
          <w:tcPr>
            <w:tcW w:w="2376" w:type="dxa"/>
          </w:tcPr>
          <w:p w14:paraId="01DD6646" w14:textId="77777777" w:rsidR="00AE6271" w:rsidRDefault="00000000">
            <w:pPr>
              <w:spacing w:before="20" w:after="20"/>
            </w:pPr>
            <w:r>
              <w:rPr>
                <w:color w:val="000000"/>
                <w:sz w:val="18"/>
              </w:rPr>
              <w:t>Without asymmetric attention</w:t>
            </w:r>
          </w:p>
        </w:tc>
        <w:tc>
          <w:tcPr>
            <w:tcW w:w="1008" w:type="dxa"/>
          </w:tcPr>
          <w:p w14:paraId="25A93158" w14:textId="77777777" w:rsidR="00AE6271" w:rsidRDefault="00000000">
            <w:pPr>
              <w:spacing w:before="20" w:after="20"/>
            </w:pPr>
            <w:r>
              <w:rPr>
                <w:color w:val="000000"/>
                <w:sz w:val="18"/>
              </w:rPr>
              <w:t>0.2885</w:t>
            </w:r>
          </w:p>
        </w:tc>
        <w:tc>
          <w:tcPr>
            <w:tcW w:w="1080" w:type="dxa"/>
          </w:tcPr>
          <w:p w14:paraId="66D6D35D" w14:textId="77777777" w:rsidR="00AE6271" w:rsidRDefault="00000000">
            <w:pPr>
              <w:spacing w:before="20" w:after="20"/>
            </w:pPr>
            <w:r>
              <w:rPr>
                <w:color w:val="000000"/>
                <w:sz w:val="18"/>
              </w:rPr>
              <w:t>0.1736</w:t>
            </w:r>
          </w:p>
        </w:tc>
        <w:tc>
          <w:tcPr>
            <w:tcW w:w="1152" w:type="dxa"/>
          </w:tcPr>
          <w:p w14:paraId="5A7771D2" w14:textId="77777777" w:rsidR="00AE6271" w:rsidRDefault="00000000">
            <w:pPr>
              <w:spacing w:before="20" w:after="20"/>
            </w:pPr>
            <w:r>
              <w:rPr>
                <w:color w:val="000000"/>
                <w:sz w:val="18"/>
              </w:rPr>
              <w:t>7.34</w:t>
            </w:r>
          </w:p>
        </w:tc>
        <w:tc>
          <w:tcPr>
            <w:tcW w:w="1080" w:type="dxa"/>
          </w:tcPr>
          <w:p w14:paraId="335679BB" w14:textId="77777777" w:rsidR="00AE6271" w:rsidRDefault="00000000">
            <w:pPr>
              <w:spacing w:before="20" w:after="20"/>
            </w:pPr>
            <w:r>
              <w:rPr>
                <w:color w:val="000000"/>
                <w:sz w:val="18"/>
              </w:rPr>
              <w:t>0.9737</w:t>
            </w:r>
          </w:p>
        </w:tc>
        <w:tc>
          <w:tcPr>
            <w:tcW w:w="2376" w:type="dxa"/>
          </w:tcPr>
          <w:p w14:paraId="1788B8C1" w14:textId="77777777" w:rsidR="00AE6271" w:rsidRDefault="00000000">
            <w:pPr>
              <w:spacing w:before="20" w:after="20"/>
            </w:pPr>
            <w:r>
              <w:rPr>
                <w:color w:val="000000"/>
                <w:sz w:val="18"/>
              </w:rPr>
              <w:t>-0.071 val CCC: attention contributes</w:t>
            </w:r>
          </w:p>
        </w:tc>
      </w:tr>
      <w:tr w:rsidR="00AE6271" w14:paraId="52242F77" w14:textId="77777777">
        <w:trPr>
          <w:jc w:val="center"/>
        </w:trPr>
        <w:tc>
          <w:tcPr>
            <w:tcW w:w="2376" w:type="dxa"/>
          </w:tcPr>
          <w:p w14:paraId="5835173A" w14:textId="77777777" w:rsidR="00AE6271" w:rsidRDefault="00000000">
            <w:pPr>
              <w:spacing w:before="20" w:after="20"/>
            </w:pPr>
            <w:r>
              <w:rPr>
                <w:color w:val="000000"/>
                <w:sz w:val="18"/>
              </w:rPr>
              <w:t>Without HSIC loss</w:t>
            </w:r>
          </w:p>
        </w:tc>
        <w:tc>
          <w:tcPr>
            <w:tcW w:w="1008" w:type="dxa"/>
          </w:tcPr>
          <w:p w14:paraId="07C8E7B6" w14:textId="77777777" w:rsidR="00AE6271" w:rsidRDefault="00000000">
            <w:pPr>
              <w:spacing w:before="20" w:after="20"/>
            </w:pPr>
            <w:r>
              <w:rPr>
                <w:color w:val="000000"/>
                <w:sz w:val="18"/>
              </w:rPr>
              <w:t>0.3130</w:t>
            </w:r>
          </w:p>
        </w:tc>
        <w:tc>
          <w:tcPr>
            <w:tcW w:w="1080" w:type="dxa"/>
          </w:tcPr>
          <w:p w14:paraId="416DEA36" w14:textId="77777777" w:rsidR="00AE6271" w:rsidRDefault="00000000">
            <w:pPr>
              <w:spacing w:before="20" w:after="20"/>
            </w:pPr>
            <w:r>
              <w:rPr>
                <w:color w:val="000000"/>
                <w:sz w:val="18"/>
              </w:rPr>
              <w:t>0.1481</w:t>
            </w:r>
          </w:p>
        </w:tc>
        <w:tc>
          <w:tcPr>
            <w:tcW w:w="1152" w:type="dxa"/>
          </w:tcPr>
          <w:p w14:paraId="30BF0331" w14:textId="77777777" w:rsidR="00AE6271" w:rsidRDefault="00000000">
            <w:pPr>
              <w:spacing w:before="20" w:after="20"/>
            </w:pPr>
            <w:r>
              <w:rPr>
                <w:color w:val="000000"/>
                <w:sz w:val="18"/>
              </w:rPr>
              <w:t>7.78</w:t>
            </w:r>
          </w:p>
        </w:tc>
        <w:tc>
          <w:tcPr>
            <w:tcW w:w="1080" w:type="dxa"/>
          </w:tcPr>
          <w:p w14:paraId="2AEA4605" w14:textId="77777777" w:rsidR="00AE6271" w:rsidRDefault="00000000">
            <w:pPr>
              <w:spacing w:before="20" w:after="20"/>
            </w:pPr>
            <w:r>
              <w:rPr>
                <w:color w:val="000000"/>
                <w:sz w:val="18"/>
              </w:rPr>
              <w:t>0.9786</w:t>
            </w:r>
          </w:p>
        </w:tc>
        <w:tc>
          <w:tcPr>
            <w:tcW w:w="2376" w:type="dxa"/>
          </w:tcPr>
          <w:p w14:paraId="788CF1C6" w14:textId="77777777" w:rsidR="00AE6271" w:rsidRDefault="00000000">
            <w:pPr>
              <w:spacing w:before="20" w:after="20"/>
            </w:pPr>
            <w:r>
              <w:rPr>
                <w:color w:val="000000"/>
                <w:sz w:val="18"/>
              </w:rPr>
              <w:t>-0.046 val CCC: orthogonality contributes</w:t>
            </w:r>
          </w:p>
        </w:tc>
      </w:tr>
      <w:tr w:rsidR="00AE6271" w14:paraId="6ACDB86C" w14:textId="77777777">
        <w:trPr>
          <w:jc w:val="center"/>
        </w:trPr>
        <w:tc>
          <w:tcPr>
            <w:tcW w:w="2376" w:type="dxa"/>
          </w:tcPr>
          <w:p w14:paraId="513DCFDB" w14:textId="77777777" w:rsidR="00AE6271" w:rsidRDefault="00000000">
            <w:pPr>
              <w:spacing w:before="20" w:after="20"/>
            </w:pPr>
            <w:r>
              <w:rPr>
                <w:color w:val="000000"/>
                <w:sz w:val="18"/>
              </w:rPr>
              <w:t>Centralised (1 client)</w:t>
            </w:r>
          </w:p>
        </w:tc>
        <w:tc>
          <w:tcPr>
            <w:tcW w:w="1008" w:type="dxa"/>
          </w:tcPr>
          <w:p w14:paraId="4B5BE66A" w14:textId="77777777" w:rsidR="00AE6271" w:rsidRDefault="00000000">
            <w:pPr>
              <w:spacing w:before="20" w:after="20"/>
            </w:pPr>
            <w:r>
              <w:rPr>
                <w:color w:val="000000"/>
                <w:sz w:val="18"/>
              </w:rPr>
              <w:t>0.3142</w:t>
            </w:r>
          </w:p>
        </w:tc>
        <w:tc>
          <w:tcPr>
            <w:tcW w:w="1080" w:type="dxa"/>
          </w:tcPr>
          <w:p w14:paraId="1FA352E4" w14:textId="77777777" w:rsidR="00AE6271" w:rsidRDefault="00000000">
            <w:pPr>
              <w:spacing w:before="20" w:after="20"/>
            </w:pPr>
            <w:r>
              <w:rPr>
                <w:color w:val="000000"/>
                <w:sz w:val="18"/>
              </w:rPr>
              <w:t>0.1857</w:t>
            </w:r>
          </w:p>
        </w:tc>
        <w:tc>
          <w:tcPr>
            <w:tcW w:w="1152" w:type="dxa"/>
          </w:tcPr>
          <w:p w14:paraId="57AFBB42" w14:textId="77777777" w:rsidR="00AE6271" w:rsidRDefault="00000000">
            <w:pPr>
              <w:spacing w:before="20" w:after="20"/>
            </w:pPr>
            <w:r>
              <w:rPr>
                <w:color w:val="000000"/>
                <w:sz w:val="18"/>
              </w:rPr>
              <w:t>7.59</w:t>
            </w:r>
          </w:p>
        </w:tc>
        <w:tc>
          <w:tcPr>
            <w:tcW w:w="1080" w:type="dxa"/>
          </w:tcPr>
          <w:p w14:paraId="0BAFC94B" w14:textId="77777777" w:rsidR="00AE6271" w:rsidRDefault="00000000">
            <w:pPr>
              <w:spacing w:before="20" w:after="20"/>
            </w:pPr>
            <w:r>
              <w:rPr>
                <w:color w:val="000000"/>
                <w:sz w:val="18"/>
              </w:rPr>
              <w:t>0.9806</w:t>
            </w:r>
          </w:p>
        </w:tc>
        <w:tc>
          <w:tcPr>
            <w:tcW w:w="2376" w:type="dxa"/>
          </w:tcPr>
          <w:p w14:paraId="71C9EE73" w14:textId="77777777" w:rsidR="00AE6271" w:rsidRDefault="00000000">
            <w:pPr>
              <w:spacing w:before="20" w:after="20"/>
            </w:pPr>
            <w:r>
              <w:rPr>
                <w:color w:val="000000"/>
                <w:sz w:val="18"/>
              </w:rPr>
              <w:t>Federation costs nothing on validation</w:t>
            </w:r>
          </w:p>
        </w:tc>
      </w:tr>
      <w:tr w:rsidR="00AE6271" w14:paraId="489C2DD0" w14:textId="77777777">
        <w:trPr>
          <w:jc w:val="center"/>
        </w:trPr>
        <w:tc>
          <w:tcPr>
            <w:tcW w:w="2376" w:type="dxa"/>
          </w:tcPr>
          <w:p w14:paraId="7128F0CE" w14:textId="77777777" w:rsidR="00AE6271" w:rsidRDefault="00000000">
            <w:pPr>
              <w:spacing w:before="20" w:after="20"/>
            </w:pPr>
            <w:r>
              <w:rPr>
                <w:color w:val="000000"/>
                <w:sz w:val="18"/>
              </w:rPr>
              <w:t>Without PET / DaTScan</w:t>
            </w:r>
          </w:p>
        </w:tc>
        <w:tc>
          <w:tcPr>
            <w:tcW w:w="1008" w:type="dxa"/>
          </w:tcPr>
          <w:p w14:paraId="4AAB0C7E" w14:textId="77777777" w:rsidR="00AE6271" w:rsidRDefault="00000000">
            <w:pPr>
              <w:spacing w:before="20" w:after="20"/>
            </w:pPr>
            <w:r>
              <w:rPr>
                <w:color w:val="000000"/>
                <w:sz w:val="18"/>
              </w:rPr>
              <w:t>0.2833</w:t>
            </w:r>
          </w:p>
        </w:tc>
        <w:tc>
          <w:tcPr>
            <w:tcW w:w="1080" w:type="dxa"/>
          </w:tcPr>
          <w:p w14:paraId="1F0B08C7" w14:textId="77777777" w:rsidR="00AE6271" w:rsidRDefault="00000000">
            <w:pPr>
              <w:spacing w:before="20" w:after="20"/>
            </w:pPr>
            <w:r>
              <w:rPr>
                <w:color w:val="000000"/>
                <w:sz w:val="18"/>
              </w:rPr>
              <w:t>0.1303</w:t>
            </w:r>
          </w:p>
        </w:tc>
        <w:tc>
          <w:tcPr>
            <w:tcW w:w="1152" w:type="dxa"/>
          </w:tcPr>
          <w:p w14:paraId="055C8D51" w14:textId="77777777" w:rsidR="00AE6271" w:rsidRDefault="00000000">
            <w:pPr>
              <w:spacing w:before="20" w:after="20"/>
            </w:pPr>
            <w:r>
              <w:rPr>
                <w:color w:val="000000"/>
                <w:sz w:val="18"/>
              </w:rPr>
              <w:t>7.86</w:t>
            </w:r>
          </w:p>
        </w:tc>
        <w:tc>
          <w:tcPr>
            <w:tcW w:w="1080" w:type="dxa"/>
          </w:tcPr>
          <w:p w14:paraId="4AA619CB" w14:textId="77777777" w:rsidR="00AE6271" w:rsidRDefault="00000000">
            <w:pPr>
              <w:spacing w:before="20" w:after="20"/>
            </w:pPr>
            <w:r>
              <w:rPr>
                <w:color w:val="000000"/>
                <w:sz w:val="18"/>
              </w:rPr>
              <w:t>0.9513</w:t>
            </w:r>
          </w:p>
        </w:tc>
        <w:tc>
          <w:tcPr>
            <w:tcW w:w="2376" w:type="dxa"/>
          </w:tcPr>
          <w:p w14:paraId="61385184" w14:textId="77777777" w:rsidR="00AE6271" w:rsidRDefault="00000000">
            <w:pPr>
              <w:spacing w:before="20" w:after="20"/>
            </w:pPr>
            <w:r>
              <w:rPr>
                <w:color w:val="000000"/>
                <w:sz w:val="18"/>
              </w:rPr>
              <w:t>Largest drop on both tasks</w:t>
            </w:r>
          </w:p>
        </w:tc>
      </w:tr>
      <w:tr w:rsidR="00AE6271" w14:paraId="4327AF39" w14:textId="77777777">
        <w:trPr>
          <w:jc w:val="center"/>
        </w:trPr>
        <w:tc>
          <w:tcPr>
            <w:tcW w:w="2376" w:type="dxa"/>
          </w:tcPr>
          <w:p w14:paraId="2A965DE1" w14:textId="77777777" w:rsidR="00AE6271" w:rsidRDefault="00000000">
            <w:pPr>
              <w:spacing w:before="20" w:after="20"/>
            </w:pPr>
            <w:r>
              <w:rPr>
                <w:color w:val="000000"/>
                <w:sz w:val="18"/>
              </w:rPr>
              <w:t>Without genetics</w:t>
            </w:r>
          </w:p>
        </w:tc>
        <w:tc>
          <w:tcPr>
            <w:tcW w:w="1008" w:type="dxa"/>
          </w:tcPr>
          <w:p w14:paraId="659C47FE" w14:textId="77777777" w:rsidR="00AE6271" w:rsidRDefault="00000000">
            <w:pPr>
              <w:spacing w:before="20" w:after="20"/>
            </w:pPr>
            <w:r>
              <w:rPr>
                <w:color w:val="000000"/>
                <w:sz w:val="18"/>
              </w:rPr>
              <w:t>0.3139</w:t>
            </w:r>
          </w:p>
        </w:tc>
        <w:tc>
          <w:tcPr>
            <w:tcW w:w="1080" w:type="dxa"/>
          </w:tcPr>
          <w:p w14:paraId="3782D183" w14:textId="77777777" w:rsidR="00AE6271" w:rsidRDefault="00000000">
            <w:pPr>
              <w:spacing w:before="20" w:after="20"/>
            </w:pPr>
            <w:r>
              <w:rPr>
                <w:color w:val="000000"/>
                <w:sz w:val="18"/>
              </w:rPr>
              <w:t>0.1474</w:t>
            </w:r>
          </w:p>
        </w:tc>
        <w:tc>
          <w:tcPr>
            <w:tcW w:w="1152" w:type="dxa"/>
          </w:tcPr>
          <w:p w14:paraId="30AC5A32" w14:textId="77777777" w:rsidR="00AE6271" w:rsidRDefault="00000000">
            <w:pPr>
              <w:spacing w:before="20" w:after="20"/>
            </w:pPr>
            <w:r>
              <w:rPr>
                <w:color w:val="000000"/>
                <w:sz w:val="18"/>
              </w:rPr>
              <w:t>7.79</w:t>
            </w:r>
          </w:p>
        </w:tc>
        <w:tc>
          <w:tcPr>
            <w:tcW w:w="1080" w:type="dxa"/>
          </w:tcPr>
          <w:p w14:paraId="5F0CEE34" w14:textId="77777777" w:rsidR="00AE6271" w:rsidRDefault="00000000">
            <w:pPr>
              <w:spacing w:before="20" w:after="20"/>
            </w:pPr>
            <w:r>
              <w:rPr>
                <w:color w:val="000000"/>
                <w:sz w:val="18"/>
              </w:rPr>
              <w:t>0.9787</w:t>
            </w:r>
          </w:p>
        </w:tc>
        <w:tc>
          <w:tcPr>
            <w:tcW w:w="2376" w:type="dxa"/>
          </w:tcPr>
          <w:p w14:paraId="0E1B2A05" w14:textId="77777777" w:rsidR="00AE6271" w:rsidRDefault="00000000">
            <w:pPr>
              <w:spacing w:before="20" w:after="20"/>
            </w:pPr>
            <w:r>
              <w:rPr>
                <w:color w:val="000000"/>
                <w:sz w:val="18"/>
              </w:rPr>
              <w:t>Small but real contribution</w:t>
            </w:r>
          </w:p>
        </w:tc>
      </w:tr>
      <w:tr w:rsidR="00AE6271" w14:paraId="05AE7ACA" w14:textId="77777777">
        <w:trPr>
          <w:jc w:val="center"/>
        </w:trPr>
        <w:tc>
          <w:tcPr>
            <w:tcW w:w="2376" w:type="dxa"/>
          </w:tcPr>
          <w:p w14:paraId="6479FA64" w14:textId="77777777" w:rsidR="00AE6271" w:rsidRDefault="00000000">
            <w:pPr>
              <w:spacing w:before="20" w:after="20"/>
            </w:pPr>
            <w:r>
              <w:rPr>
                <w:color w:val="000000"/>
                <w:sz w:val="18"/>
              </w:rPr>
              <w:t>Without MRI (synthetic)</w:t>
            </w:r>
          </w:p>
        </w:tc>
        <w:tc>
          <w:tcPr>
            <w:tcW w:w="1008" w:type="dxa"/>
          </w:tcPr>
          <w:p w14:paraId="3687C29E" w14:textId="77777777" w:rsidR="00AE6271" w:rsidRDefault="00000000">
            <w:pPr>
              <w:spacing w:before="20" w:after="20"/>
            </w:pPr>
            <w:r>
              <w:rPr>
                <w:color w:val="000000"/>
                <w:sz w:val="18"/>
              </w:rPr>
              <w:t>0.3272</w:t>
            </w:r>
          </w:p>
        </w:tc>
        <w:tc>
          <w:tcPr>
            <w:tcW w:w="1080" w:type="dxa"/>
          </w:tcPr>
          <w:p w14:paraId="1141FDA5" w14:textId="77777777" w:rsidR="00AE6271" w:rsidRDefault="00000000">
            <w:pPr>
              <w:spacing w:before="20" w:after="20"/>
            </w:pPr>
            <w:r>
              <w:rPr>
                <w:color w:val="000000"/>
                <w:sz w:val="18"/>
              </w:rPr>
              <w:t>0.2241</w:t>
            </w:r>
          </w:p>
        </w:tc>
        <w:tc>
          <w:tcPr>
            <w:tcW w:w="1152" w:type="dxa"/>
          </w:tcPr>
          <w:p w14:paraId="2BAC590B" w14:textId="77777777" w:rsidR="00AE6271" w:rsidRDefault="00000000">
            <w:pPr>
              <w:spacing w:before="20" w:after="20"/>
            </w:pPr>
            <w:r>
              <w:rPr>
                <w:color w:val="000000"/>
                <w:sz w:val="18"/>
              </w:rPr>
              <w:t>6.90</w:t>
            </w:r>
          </w:p>
        </w:tc>
        <w:tc>
          <w:tcPr>
            <w:tcW w:w="1080" w:type="dxa"/>
          </w:tcPr>
          <w:p w14:paraId="0DE0B405" w14:textId="77777777" w:rsidR="00AE6271" w:rsidRDefault="00000000">
            <w:pPr>
              <w:spacing w:before="20" w:after="20"/>
            </w:pPr>
            <w:r>
              <w:rPr>
                <w:color w:val="000000"/>
                <w:sz w:val="18"/>
              </w:rPr>
              <w:t>0.9761</w:t>
            </w:r>
          </w:p>
        </w:tc>
        <w:tc>
          <w:tcPr>
            <w:tcW w:w="2376" w:type="dxa"/>
          </w:tcPr>
          <w:p w14:paraId="0066E010" w14:textId="77777777" w:rsidR="00AE6271" w:rsidRDefault="00000000">
            <w:pPr>
              <w:spacing w:before="20" w:after="20"/>
            </w:pPr>
            <w:r>
              <w:rPr>
                <w:color w:val="000000"/>
                <w:sz w:val="18"/>
              </w:rPr>
              <w:t>Removing it improves test CCC</w:t>
            </w:r>
          </w:p>
        </w:tc>
      </w:tr>
      <w:tr w:rsidR="00AE6271" w14:paraId="5ABFA1EA" w14:textId="77777777">
        <w:trPr>
          <w:jc w:val="center"/>
        </w:trPr>
        <w:tc>
          <w:tcPr>
            <w:tcW w:w="2376" w:type="dxa"/>
          </w:tcPr>
          <w:p w14:paraId="11A95AF9" w14:textId="77777777" w:rsidR="00AE6271" w:rsidRDefault="00000000">
            <w:pPr>
              <w:spacing w:before="20" w:after="20"/>
            </w:pPr>
            <w:r>
              <w:rPr>
                <w:color w:val="000000"/>
                <w:sz w:val="18"/>
              </w:rPr>
              <w:t>Clinical only</w:t>
            </w:r>
          </w:p>
        </w:tc>
        <w:tc>
          <w:tcPr>
            <w:tcW w:w="1008" w:type="dxa"/>
          </w:tcPr>
          <w:p w14:paraId="2913BE2A" w14:textId="77777777" w:rsidR="00AE6271" w:rsidRDefault="00000000">
            <w:pPr>
              <w:spacing w:before="20" w:after="20"/>
            </w:pPr>
            <w:r>
              <w:rPr>
                <w:color w:val="000000"/>
                <w:sz w:val="18"/>
              </w:rPr>
              <w:t>0.3072</w:t>
            </w:r>
          </w:p>
        </w:tc>
        <w:tc>
          <w:tcPr>
            <w:tcW w:w="1080" w:type="dxa"/>
          </w:tcPr>
          <w:p w14:paraId="75730B49" w14:textId="77777777" w:rsidR="00AE6271" w:rsidRDefault="00000000">
            <w:pPr>
              <w:spacing w:before="20" w:after="20"/>
            </w:pPr>
            <w:r>
              <w:rPr>
                <w:color w:val="000000"/>
                <w:sz w:val="18"/>
              </w:rPr>
              <w:t>0.2055</w:t>
            </w:r>
          </w:p>
        </w:tc>
        <w:tc>
          <w:tcPr>
            <w:tcW w:w="1152" w:type="dxa"/>
          </w:tcPr>
          <w:p w14:paraId="5984F6A7" w14:textId="77777777" w:rsidR="00AE6271" w:rsidRDefault="00000000">
            <w:pPr>
              <w:spacing w:before="20" w:after="20"/>
            </w:pPr>
            <w:r>
              <w:rPr>
                <w:color w:val="000000"/>
                <w:sz w:val="18"/>
              </w:rPr>
              <w:t>6.91</w:t>
            </w:r>
          </w:p>
        </w:tc>
        <w:tc>
          <w:tcPr>
            <w:tcW w:w="1080" w:type="dxa"/>
          </w:tcPr>
          <w:p w14:paraId="5CF741F4" w14:textId="77777777" w:rsidR="00AE6271" w:rsidRDefault="00000000">
            <w:pPr>
              <w:spacing w:before="20" w:after="20"/>
            </w:pPr>
            <w:r>
              <w:rPr>
                <w:color w:val="000000"/>
                <w:sz w:val="18"/>
              </w:rPr>
              <w:t>0.9554</w:t>
            </w:r>
          </w:p>
        </w:tc>
        <w:tc>
          <w:tcPr>
            <w:tcW w:w="2376" w:type="dxa"/>
          </w:tcPr>
          <w:p w14:paraId="14AA0CF4" w14:textId="77777777" w:rsidR="00AE6271" w:rsidRDefault="00000000">
            <w:pPr>
              <w:spacing w:before="20" w:after="20"/>
            </w:pPr>
            <w:r>
              <w:rPr>
                <w:color w:val="000000"/>
                <w:sz w:val="18"/>
              </w:rPr>
              <w:t>But AUC falls 0.026</w:t>
            </w:r>
          </w:p>
        </w:tc>
      </w:tr>
    </w:tbl>
    <w:p w14:paraId="04B36D78" w14:textId="77777777" w:rsidR="00AE6271" w:rsidRDefault="00000000">
      <w:pPr>
        <w:spacing w:before="40" w:after="240"/>
        <w:jc w:val="center"/>
      </w:pPr>
      <w:r>
        <w:rPr>
          <w:i/>
          <w:color w:val="595959"/>
          <w:sz w:val="22"/>
        </w:rPr>
        <w:t>Table 9. Ablation study - contribution of each component and modality.</w:t>
      </w:r>
    </w:p>
    <w:p w14:paraId="727B57CD" w14:textId="77777777" w:rsidR="00AE6271" w:rsidRDefault="00000000">
      <w:pPr>
        <w:keepNext/>
        <w:spacing w:before="160" w:after="40"/>
        <w:jc w:val="center"/>
      </w:pPr>
      <w:r>
        <w:rPr>
          <w:noProof/>
        </w:rPr>
        <w:lastRenderedPageBreak/>
        <w:drawing>
          <wp:inline distT="0" distB="0" distL="0" distR="0" wp14:anchorId="0075F075" wp14:editId="47965CC5">
            <wp:extent cx="54864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21"/>
                    <a:stretch>
                      <a:fillRect/>
                    </a:stretch>
                  </pic:blipFill>
                  <pic:spPr>
                    <a:xfrm>
                      <a:off x="0" y="0"/>
                      <a:ext cx="5486400" cy="3352800"/>
                    </a:xfrm>
                    <a:prstGeom prst="rect">
                      <a:avLst/>
                    </a:prstGeom>
                  </pic:spPr>
                </pic:pic>
              </a:graphicData>
            </a:graphic>
          </wp:inline>
        </w:drawing>
      </w:r>
    </w:p>
    <w:p w14:paraId="00E4510F" w14:textId="77777777" w:rsidR="00AE6271" w:rsidRDefault="00000000">
      <w:pPr>
        <w:spacing w:before="40" w:after="240"/>
        <w:jc w:val="center"/>
      </w:pPr>
      <w:r>
        <w:rPr>
          <w:i/>
          <w:color w:val="595959"/>
          <w:sz w:val="22"/>
        </w:rPr>
        <w:t>Fig. 11. Ablation study across eight retrained variants.</w:t>
      </w:r>
    </w:p>
    <w:p w14:paraId="52064A0C" w14:textId="77777777" w:rsidR="00AE6271" w:rsidRDefault="00000000">
      <w:pPr>
        <w:spacing w:after="120" w:line="276" w:lineRule="auto"/>
        <w:jc w:val="both"/>
      </w:pPr>
      <w:r>
        <w:rPr>
          <w:color w:val="000000"/>
        </w:rPr>
        <w:t>Explainability. Integrated gradients attribute 58.5 per cent of the attribution mass to the clinical block, 21.6 per cent to DaTScan, 19.9 per cent to structural MRI and 0.0 per cent to genetics; the last figure is coherent rather than anomalous, since genetics is masked for 78 per cent of subjects and a mask token carries no gradient. The missing-modality stress test shows graceful degradation under every forced-absence scenario, confirming that the learned mask tokens function as designed. Counterfactual gene flips shift the predicted progression by between -0.29 and -0.34 points, which demonstrates the mechanism without supporting any clinical claim.</w:t>
      </w:r>
    </w:p>
    <w:p w14:paraId="56537E88" w14:textId="77777777" w:rsidR="00AE6271" w:rsidRDefault="00000000">
      <w:r>
        <w:br w:type="page"/>
      </w:r>
    </w:p>
    <w:p w14:paraId="5C2A1A58" w14:textId="77777777" w:rsidR="00AE6271" w:rsidRDefault="00000000">
      <w:pPr>
        <w:keepNext/>
        <w:spacing w:after="160" w:line="360" w:lineRule="auto"/>
      </w:pPr>
      <w:r>
        <w:rPr>
          <w:b/>
          <w:color w:val="000000"/>
          <w:sz w:val="28"/>
        </w:rPr>
        <w:lastRenderedPageBreak/>
        <w:t>5. REFERENCES</w:t>
      </w:r>
    </w:p>
    <w:p w14:paraId="646060E9" w14:textId="77777777" w:rsidR="0008591A" w:rsidRPr="0008591A" w:rsidRDefault="0008591A" w:rsidP="0008591A">
      <w:pPr>
        <w:spacing w:before="160" w:after="80" w:line="276" w:lineRule="auto"/>
        <w:rPr>
          <w:color w:val="000000"/>
          <w:lang w:val="en-US"/>
        </w:rPr>
      </w:pPr>
      <w:r w:rsidRPr="0008591A">
        <w:rPr>
          <w:color w:val="000000"/>
          <w:lang w:val="en-US"/>
        </w:rPr>
        <w:t xml:space="preserve">[1] G. Huang, R. Li, Q. Bai, and J. Alty, “Multimodal learning of clinically accessible tests to aid diagnosis of neurodegenerative disorders: A scoping review,” </w:t>
      </w:r>
      <w:r w:rsidRPr="0008591A">
        <w:rPr>
          <w:i/>
          <w:iCs/>
          <w:color w:val="000000"/>
          <w:lang w:val="en-US"/>
        </w:rPr>
        <w:t>Health Inf. Sci. Syst.</w:t>
      </w:r>
      <w:r w:rsidRPr="0008591A">
        <w:rPr>
          <w:color w:val="000000"/>
          <w:lang w:val="en-US"/>
        </w:rPr>
        <w:t>, vol. 11, Art. no. 32, 2023, doi: 10.1007/s13755-023-00231-0.</w:t>
      </w:r>
    </w:p>
    <w:p w14:paraId="6072C1C8" w14:textId="77777777" w:rsidR="0008591A" w:rsidRPr="0008591A" w:rsidRDefault="0008591A" w:rsidP="0008591A">
      <w:pPr>
        <w:spacing w:before="160" w:after="80" w:line="276" w:lineRule="auto"/>
        <w:rPr>
          <w:color w:val="000000"/>
          <w:lang w:val="en-US"/>
        </w:rPr>
      </w:pPr>
      <w:r w:rsidRPr="0008591A">
        <w:rPr>
          <w:color w:val="000000"/>
          <w:lang w:val="en-US"/>
        </w:rPr>
        <w:t xml:space="preserve">[2] A. S. M. Miah, T. Suzuki, and J. Shin, “A methodological and structural review of Parkinson’s disease detection across diverse data modalities,” </w:t>
      </w:r>
      <w:r w:rsidRPr="0008591A">
        <w:rPr>
          <w:i/>
          <w:iCs/>
          <w:color w:val="000000"/>
          <w:lang w:val="en-US"/>
        </w:rPr>
        <w:t>IEEE Access</w:t>
      </w:r>
      <w:r w:rsidRPr="0008591A">
        <w:rPr>
          <w:color w:val="000000"/>
          <w:lang w:val="en-US"/>
        </w:rPr>
        <w:t>, vol. 13, pp. 98931–98975, 2025, doi: 10.1109/ACCESS.2025.3575023.</w:t>
      </w:r>
    </w:p>
    <w:p w14:paraId="2D80FF28" w14:textId="77777777" w:rsidR="0008591A" w:rsidRPr="0008591A" w:rsidRDefault="0008591A" w:rsidP="0008591A">
      <w:pPr>
        <w:spacing w:before="160" w:after="80" w:line="276" w:lineRule="auto"/>
        <w:rPr>
          <w:color w:val="000000"/>
          <w:lang w:val="en-US"/>
        </w:rPr>
      </w:pPr>
      <w:r w:rsidRPr="0008591A">
        <w:rPr>
          <w:color w:val="000000"/>
          <w:lang w:val="en-US"/>
        </w:rPr>
        <w:t xml:space="preserve">[3] J. Lu, D. K. Tran, X. L. Bui, N. Q. K. Le, and M. C. H. Chua, “Multimodal machine learning for Parkinson’s disease diagnosis and genetic subtyping,” </w:t>
      </w:r>
      <w:r w:rsidRPr="0008591A">
        <w:rPr>
          <w:i/>
          <w:iCs/>
          <w:color w:val="000000"/>
          <w:lang w:val="en-US"/>
        </w:rPr>
        <w:t>Health Technol.</w:t>
      </w:r>
      <w:r w:rsidRPr="0008591A">
        <w:rPr>
          <w:color w:val="000000"/>
          <w:lang w:val="en-US"/>
        </w:rPr>
        <w:t>, vol. 16, pp. 337–343, 2026, doi: 10.1007/s12553-025-01021-2.</w:t>
      </w:r>
    </w:p>
    <w:p w14:paraId="48C971C7" w14:textId="77777777" w:rsidR="0008591A" w:rsidRPr="0008591A" w:rsidRDefault="0008591A" w:rsidP="0008591A">
      <w:pPr>
        <w:spacing w:before="160" w:after="80" w:line="276" w:lineRule="auto"/>
        <w:rPr>
          <w:color w:val="000000"/>
          <w:lang w:val="en-US"/>
        </w:rPr>
      </w:pPr>
      <w:r w:rsidRPr="0008591A">
        <w:rPr>
          <w:color w:val="000000"/>
          <w:lang w:val="en-US"/>
        </w:rPr>
        <w:t xml:space="preserve">[4] J. Lian, X. Luo, C. Shan, D. Han, C. Zhang, V. Vardhanabhuti, D. Li, and L. Qiu, “Personalized progression modelling and prediction in Parkinson’s disease with a novel multi-modal graph approach,” </w:t>
      </w:r>
      <w:r w:rsidRPr="0008591A">
        <w:rPr>
          <w:i/>
          <w:iCs/>
          <w:color w:val="000000"/>
          <w:lang w:val="en-US"/>
        </w:rPr>
        <w:t>npj Parkinsons Dis.</w:t>
      </w:r>
      <w:r w:rsidRPr="0008591A">
        <w:rPr>
          <w:color w:val="000000"/>
          <w:lang w:val="en-US"/>
        </w:rPr>
        <w:t>, vol. 10, Art. no. 229, 2024, doi: 10.1038/s41531-024-00832-w.</w:t>
      </w:r>
    </w:p>
    <w:p w14:paraId="731ECDBC" w14:textId="77777777" w:rsidR="0008591A" w:rsidRPr="0008591A" w:rsidRDefault="0008591A" w:rsidP="0008591A">
      <w:pPr>
        <w:spacing w:before="160" w:after="80" w:line="276" w:lineRule="auto"/>
        <w:rPr>
          <w:color w:val="000000"/>
          <w:lang w:val="en-US"/>
        </w:rPr>
      </w:pPr>
      <w:r w:rsidRPr="0008591A">
        <w:rPr>
          <w:color w:val="000000"/>
          <w:lang w:val="en-US"/>
        </w:rPr>
        <w:t xml:space="preserve">[5] Y. Yang, L. Hu, Y. Chen, W. Gu, G. Lin, Y. Xie, and S. Nie, “Identification of Parkinson's disease using MRI and genetic data from the PPMI cohort: An improved machine learning fusion approach,” </w:t>
      </w:r>
      <w:r w:rsidRPr="0008591A">
        <w:rPr>
          <w:i/>
          <w:iCs/>
          <w:color w:val="000000"/>
          <w:lang w:val="en-US"/>
        </w:rPr>
        <w:t>Front. Aging Neurosci.</w:t>
      </w:r>
      <w:r w:rsidRPr="0008591A">
        <w:rPr>
          <w:color w:val="000000"/>
          <w:lang w:val="en-US"/>
        </w:rPr>
        <w:t>, vol. 17, Art. no. 1510192, 2025, doi: 10.3389/fnagi.2025.1510192.</w:t>
      </w:r>
    </w:p>
    <w:p w14:paraId="7FC79B75" w14:textId="77777777" w:rsidR="0008591A" w:rsidRPr="0008591A" w:rsidRDefault="0008591A" w:rsidP="0008591A">
      <w:pPr>
        <w:spacing w:before="160" w:after="80" w:line="276" w:lineRule="auto"/>
        <w:rPr>
          <w:color w:val="000000"/>
          <w:lang w:val="en-US"/>
        </w:rPr>
      </w:pPr>
      <w:r w:rsidRPr="0008591A">
        <w:rPr>
          <w:color w:val="000000"/>
          <w:lang w:val="en-US"/>
        </w:rPr>
        <w:t xml:space="preserve">[6] N. Chowdhury, U. K. Das, S. Sazzad, A. Chowdhury, and P. Das, “Multimodal approach for early diagnosis of Parkinson’s disease using PET imaging, tremor detection, and machine learning,” </w:t>
      </w:r>
      <w:r w:rsidRPr="0008591A">
        <w:rPr>
          <w:i/>
          <w:iCs/>
          <w:color w:val="000000"/>
          <w:lang w:val="en-US"/>
        </w:rPr>
        <w:t>Psychiatry Res. Neuroimaging</w:t>
      </w:r>
      <w:r w:rsidRPr="0008591A">
        <w:rPr>
          <w:color w:val="000000"/>
          <w:lang w:val="en-US"/>
        </w:rPr>
        <w:t>, vol. 353, Art. no. 112063, 2025, doi: 10.1016/j.pscychresns.2025.112063.</w:t>
      </w:r>
    </w:p>
    <w:p w14:paraId="27A3C294" w14:textId="77777777" w:rsidR="0008591A" w:rsidRPr="0008591A" w:rsidRDefault="0008591A" w:rsidP="0008591A">
      <w:pPr>
        <w:spacing w:before="160" w:after="80" w:line="276" w:lineRule="auto"/>
        <w:rPr>
          <w:color w:val="000000"/>
          <w:lang w:val="en-US"/>
        </w:rPr>
      </w:pPr>
      <w:r w:rsidRPr="0008591A">
        <w:rPr>
          <w:color w:val="000000"/>
          <w:lang w:val="en-US"/>
        </w:rPr>
        <w:t xml:space="preserve">[7] G. Roberts, S. Hardy, Y. Pan, </w:t>
      </w:r>
      <w:r w:rsidRPr="0008591A">
        <w:rPr>
          <w:i/>
          <w:iCs/>
          <w:color w:val="000000"/>
          <w:lang w:val="en-US"/>
        </w:rPr>
        <w:t>et al.</w:t>
      </w:r>
      <w:r w:rsidRPr="0008591A">
        <w:rPr>
          <w:color w:val="000000"/>
          <w:lang w:val="en-US"/>
        </w:rPr>
        <w:t xml:space="preserve">, “Individual cases of Parkinson’s disease can be robustly classified using magnetoencephalography,” </w:t>
      </w:r>
      <w:r w:rsidRPr="0008591A">
        <w:rPr>
          <w:i/>
          <w:iCs/>
          <w:color w:val="000000"/>
          <w:lang w:val="en-US"/>
        </w:rPr>
        <w:t>npj Parkinsons Dis.</w:t>
      </w:r>
      <w:r w:rsidRPr="0008591A">
        <w:rPr>
          <w:color w:val="000000"/>
          <w:lang w:val="en-US"/>
        </w:rPr>
        <w:t>, 2026, doi: 10.1038/s41531-026-01345-4.</w:t>
      </w:r>
    </w:p>
    <w:p w14:paraId="506C70F8" w14:textId="77777777" w:rsidR="0008591A" w:rsidRPr="0008591A" w:rsidRDefault="0008591A" w:rsidP="0008591A">
      <w:pPr>
        <w:spacing w:before="160" w:after="80" w:line="276" w:lineRule="auto"/>
        <w:rPr>
          <w:color w:val="000000"/>
          <w:lang w:val="en-US"/>
        </w:rPr>
      </w:pPr>
      <w:r w:rsidRPr="0008591A">
        <w:rPr>
          <w:color w:val="000000"/>
          <w:lang w:val="en-US"/>
        </w:rPr>
        <w:t xml:space="preserve">[8] V. Dentamaro, D. Impedovo, L. Musti, </w:t>
      </w:r>
      <w:r w:rsidRPr="0008591A">
        <w:rPr>
          <w:i/>
          <w:iCs/>
          <w:color w:val="000000"/>
          <w:lang w:val="en-US"/>
        </w:rPr>
        <w:t>et al.</w:t>
      </w:r>
      <w:r w:rsidRPr="0008591A">
        <w:rPr>
          <w:color w:val="000000"/>
          <w:lang w:val="en-US"/>
        </w:rPr>
        <w:t xml:space="preserve">, “Enhancing early Parkinson’s disease detection through multimodal deep learning and explainable AI: Insights from the PPMI database,” </w:t>
      </w:r>
      <w:r w:rsidRPr="0008591A">
        <w:rPr>
          <w:i/>
          <w:iCs/>
          <w:color w:val="000000"/>
          <w:lang w:val="en-US"/>
        </w:rPr>
        <w:t>Sci. Rep.</w:t>
      </w:r>
      <w:r w:rsidRPr="0008591A">
        <w:rPr>
          <w:color w:val="000000"/>
          <w:lang w:val="en-US"/>
        </w:rPr>
        <w:t>, vol. 14, Art. no. 20941, 2024, doi: 10.1038/s41598-024-70165-4.</w:t>
      </w:r>
    </w:p>
    <w:p w14:paraId="6B36C5B0" w14:textId="77777777" w:rsidR="0008591A" w:rsidRPr="0008591A" w:rsidRDefault="0008591A" w:rsidP="0008591A">
      <w:pPr>
        <w:spacing w:before="160" w:after="80" w:line="276" w:lineRule="auto"/>
        <w:rPr>
          <w:color w:val="000000"/>
          <w:lang w:val="en-US"/>
        </w:rPr>
      </w:pPr>
      <w:r w:rsidRPr="0008591A">
        <w:rPr>
          <w:color w:val="000000"/>
          <w:lang w:val="en-US"/>
        </w:rPr>
        <w:t xml:space="preserve">[9] A. Vamvakas, T. Van Balkom, G. Van Wingen, J. Booij, D. Weintraub, H. W. Berendse, O. A. van den Heuvel, and C. Vriend, “Prediction of impulse control disorders in Parkinson’s disease through a longitudinal machine learning study,” </w:t>
      </w:r>
      <w:r w:rsidRPr="0008591A">
        <w:rPr>
          <w:i/>
          <w:iCs/>
          <w:color w:val="000000"/>
          <w:lang w:val="en-US"/>
        </w:rPr>
        <w:t>npj Parkinsons Dis.</w:t>
      </w:r>
      <w:r w:rsidRPr="0008591A">
        <w:rPr>
          <w:color w:val="000000"/>
          <w:lang w:val="en-US"/>
        </w:rPr>
        <w:t>, vol. 12, Art. no. 38, 2026, doi: 10.1038/s41531-025-01248-w.</w:t>
      </w:r>
    </w:p>
    <w:p w14:paraId="2F4AEAD9" w14:textId="77777777" w:rsidR="0008591A" w:rsidRPr="0008591A" w:rsidRDefault="0008591A" w:rsidP="0008591A">
      <w:pPr>
        <w:spacing w:before="160" w:after="80" w:line="276" w:lineRule="auto"/>
        <w:rPr>
          <w:color w:val="000000"/>
          <w:lang w:val="en-US"/>
        </w:rPr>
      </w:pPr>
      <w:r w:rsidRPr="0008591A">
        <w:rPr>
          <w:color w:val="000000"/>
          <w:lang w:val="en-US"/>
        </w:rPr>
        <w:t xml:space="preserve">[10] S. W. Akram and C. K., “Enhancing Parkinson’s disease staging: An integrative deep learning framework for multimodal feature selection,” </w:t>
      </w:r>
      <w:r w:rsidRPr="0008591A">
        <w:rPr>
          <w:i/>
          <w:iCs/>
          <w:color w:val="000000"/>
          <w:lang w:val="en-US"/>
        </w:rPr>
        <w:t>J. Mol. Neurosci.</w:t>
      </w:r>
      <w:r w:rsidRPr="0008591A">
        <w:rPr>
          <w:color w:val="000000"/>
          <w:lang w:val="en-US"/>
        </w:rPr>
        <w:t>, vol. 76, no. 2, Art. no. 55, 2026, doi: 10.1007/s12031-026-02492-2.</w:t>
      </w:r>
    </w:p>
    <w:p w14:paraId="68204EB0" w14:textId="77777777" w:rsidR="0008591A" w:rsidRPr="0008591A" w:rsidRDefault="0008591A" w:rsidP="0008591A">
      <w:pPr>
        <w:spacing w:before="160" w:after="80" w:line="276" w:lineRule="auto"/>
        <w:rPr>
          <w:color w:val="000000"/>
          <w:lang w:val="en-US"/>
        </w:rPr>
      </w:pPr>
      <w:r w:rsidRPr="0008591A">
        <w:rPr>
          <w:color w:val="000000"/>
          <w:lang w:val="en-US"/>
        </w:rPr>
        <w:t xml:space="preserve">[11] T. Zhi, H. Liu, X. Wang, </w:t>
      </w:r>
      <w:r w:rsidRPr="0008591A">
        <w:rPr>
          <w:i/>
          <w:iCs/>
          <w:color w:val="000000"/>
          <w:lang w:val="en-US"/>
        </w:rPr>
        <w:t>et al.</w:t>
      </w:r>
      <w:r w:rsidRPr="0008591A">
        <w:rPr>
          <w:color w:val="000000"/>
          <w:lang w:val="en-US"/>
        </w:rPr>
        <w:t xml:space="preserve">, “MultimodalCNN-PD: A Parkinson’s disease diagnostics framework using multimodal convolutional neural network,” </w:t>
      </w:r>
      <w:r w:rsidRPr="0008591A">
        <w:rPr>
          <w:i/>
          <w:iCs/>
          <w:color w:val="000000"/>
          <w:lang w:val="en-US"/>
        </w:rPr>
        <w:t>Front. Aging Neurosci.</w:t>
      </w:r>
      <w:r w:rsidRPr="0008591A">
        <w:rPr>
          <w:color w:val="000000"/>
          <w:lang w:val="en-US"/>
        </w:rPr>
        <w:t>, vol. 18, Art. no. 1733075, 2026, doi: 10.3389/fnagi.2026.1733075.</w:t>
      </w:r>
    </w:p>
    <w:p w14:paraId="3A779732" w14:textId="77777777" w:rsidR="0008591A" w:rsidRPr="0008591A" w:rsidRDefault="0008591A" w:rsidP="0008591A">
      <w:pPr>
        <w:spacing w:before="160" w:after="80" w:line="276" w:lineRule="auto"/>
        <w:rPr>
          <w:color w:val="000000"/>
          <w:lang w:val="en-US"/>
        </w:rPr>
      </w:pPr>
      <w:r w:rsidRPr="0008591A">
        <w:rPr>
          <w:color w:val="000000"/>
          <w:lang w:val="en-US"/>
        </w:rPr>
        <w:lastRenderedPageBreak/>
        <w:t xml:space="preserve">[12] R. Zhang, H. Li, M. Chen, </w:t>
      </w:r>
      <w:r w:rsidRPr="0008591A">
        <w:rPr>
          <w:i/>
          <w:iCs/>
          <w:color w:val="000000"/>
          <w:lang w:val="en-US"/>
        </w:rPr>
        <w:t>et al.</w:t>
      </w:r>
      <w:r w:rsidRPr="0008591A">
        <w:rPr>
          <w:color w:val="000000"/>
          <w:lang w:val="en-US"/>
        </w:rPr>
        <w:t>, “Attention-based multimodal fusion for Parkinson’s disease subtyping,” 2024.</w:t>
      </w:r>
    </w:p>
    <w:p w14:paraId="18F02A2A" w14:textId="77777777" w:rsidR="0008591A" w:rsidRPr="0008591A" w:rsidRDefault="0008591A" w:rsidP="0008591A">
      <w:pPr>
        <w:spacing w:before="160" w:after="80" w:line="276" w:lineRule="auto"/>
        <w:rPr>
          <w:color w:val="000000"/>
          <w:lang w:val="en-US"/>
        </w:rPr>
      </w:pPr>
      <w:r w:rsidRPr="0008591A">
        <w:rPr>
          <w:color w:val="000000"/>
          <w:lang w:val="en-US"/>
        </w:rPr>
        <w:t xml:space="preserve">[13] C. Lv, L. Fan, H. Li, J. Ma, W. Jiang, and X. Ma, “Leveraging multimodal deep learning framework and a comprehensive audio-visual dataset to advance Parkinson’s detection,” </w:t>
      </w:r>
      <w:r w:rsidRPr="0008591A">
        <w:rPr>
          <w:i/>
          <w:iCs/>
          <w:color w:val="000000"/>
          <w:lang w:val="en-US"/>
        </w:rPr>
        <w:t>Biomed. Signal Process. Control</w:t>
      </w:r>
      <w:r w:rsidRPr="0008591A">
        <w:rPr>
          <w:color w:val="000000"/>
          <w:lang w:val="en-US"/>
        </w:rPr>
        <w:t>, vol. 95, Art. no. 106480, 2024, doi: 10.1016/j.bspc.2024.106480.</w:t>
      </w:r>
    </w:p>
    <w:p w14:paraId="508E4E4B" w14:textId="77777777" w:rsidR="0008591A" w:rsidRPr="0008591A" w:rsidRDefault="0008591A" w:rsidP="0008591A">
      <w:pPr>
        <w:spacing w:before="160" w:after="80" w:line="276" w:lineRule="auto"/>
        <w:rPr>
          <w:color w:val="000000"/>
          <w:lang w:val="en-US"/>
        </w:rPr>
      </w:pPr>
      <w:r w:rsidRPr="0008591A">
        <w:rPr>
          <w:color w:val="000000"/>
          <w:lang w:val="en-US"/>
        </w:rPr>
        <w:t xml:space="preserve">[14] Z. Huang, J. Li, J. Yang, J. Wan, J. Chen, Z. Yang, M. Shi, and R. Zhou, “Parkinson’s disease classification and prediction via adaptive sparse learning from multiple modalities,” </w:t>
      </w:r>
      <w:r w:rsidRPr="0008591A">
        <w:rPr>
          <w:i/>
          <w:iCs/>
          <w:color w:val="000000"/>
          <w:lang w:val="en-US"/>
        </w:rPr>
        <w:t>Biomed. Signal Process. Control</w:t>
      </w:r>
      <w:r w:rsidRPr="0008591A">
        <w:rPr>
          <w:color w:val="000000"/>
          <w:lang w:val="en-US"/>
        </w:rPr>
        <w:t>, vol. 100, Art. no. 107061, 2025, doi: 10.1016/j.bspc.2024.107061.</w:t>
      </w:r>
    </w:p>
    <w:p w14:paraId="7E5E868F" w14:textId="77777777" w:rsidR="0008591A" w:rsidRPr="0008591A" w:rsidRDefault="0008591A" w:rsidP="0008591A">
      <w:pPr>
        <w:spacing w:before="160" w:after="80" w:line="276" w:lineRule="auto"/>
        <w:rPr>
          <w:color w:val="000000"/>
          <w:lang w:val="en-US"/>
        </w:rPr>
      </w:pPr>
      <w:r w:rsidRPr="0008591A">
        <w:rPr>
          <w:color w:val="000000"/>
          <w:lang w:val="en-US"/>
        </w:rPr>
        <w:t xml:space="preserve">[15] J. Li, Y. Lei, Z. Guan, P. Yang, H. Song, J. Tian, G. Yao, C. Liang, T. Wang, X. Xiao, H. Lei, and B. Lei, “Multimodal adaptive subspace learning for Parkinson’s disease diagnosis and prediction,” </w:t>
      </w:r>
      <w:r w:rsidRPr="0008591A">
        <w:rPr>
          <w:i/>
          <w:iCs/>
          <w:color w:val="000000"/>
          <w:lang w:val="en-US"/>
        </w:rPr>
        <w:t>Appl. Soft Comput.</w:t>
      </w:r>
      <w:r w:rsidRPr="0008591A">
        <w:rPr>
          <w:color w:val="000000"/>
          <w:lang w:val="en-US"/>
        </w:rPr>
        <w:t>, vol. 192, Art. no. 114691, 2026, doi: 10.1016/j.asoc.2026.114691.</w:t>
      </w:r>
    </w:p>
    <w:p w14:paraId="0B5D0AB2" w14:textId="77777777" w:rsidR="0008591A" w:rsidRPr="0008591A" w:rsidRDefault="0008591A" w:rsidP="0008591A">
      <w:pPr>
        <w:spacing w:before="160" w:after="80" w:line="276" w:lineRule="auto"/>
        <w:rPr>
          <w:color w:val="000000"/>
          <w:lang w:val="en-US"/>
        </w:rPr>
      </w:pPr>
      <w:r w:rsidRPr="0008591A">
        <w:rPr>
          <w:color w:val="000000"/>
          <w:lang w:val="en-US"/>
        </w:rPr>
        <w:t xml:space="preserve">[16] H. Song, H. Lei, Y. Lei, Z. Huang, J. Li, T. Wang, P. Yang, and B. Lei, “Multimodal joint subspace model for Parkinson’s disease diagnosis,” </w:t>
      </w:r>
      <w:r w:rsidRPr="0008591A">
        <w:rPr>
          <w:i/>
          <w:iCs/>
          <w:color w:val="000000"/>
          <w:lang w:val="en-US"/>
        </w:rPr>
        <w:t>Expert Syst. Appl.</w:t>
      </w:r>
      <w:r w:rsidRPr="0008591A">
        <w:rPr>
          <w:color w:val="000000"/>
          <w:lang w:val="en-US"/>
        </w:rPr>
        <w:t>, vol. 298, Art. no. 129556, 2026, doi: 10.1016/j.eswa.2025.129556.</w:t>
      </w:r>
    </w:p>
    <w:p w14:paraId="0B701420" w14:textId="77777777" w:rsidR="0008591A" w:rsidRPr="0008591A" w:rsidRDefault="0008591A" w:rsidP="0008591A">
      <w:pPr>
        <w:spacing w:before="160" w:after="80" w:line="276" w:lineRule="auto"/>
        <w:rPr>
          <w:color w:val="000000"/>
          <w:lang w:val="en-US"/>
        </w:rPr>
      </w:pPr>
      <w:r w:rsidRPr="0008591A">
        <w:rPr>
          <w:color w:val="000000"/>
          <w:lang w:val="en-US"/>
        </w:rPr>
        <w:t xml:space="preserve">[17] X. Wang, L. Chen, K. Zhou, H. Liu, </w:t>
      </w:r>
      <w:r w:rsidRPr="0008591A">
        <w:rPr>
          <w:i/>
          <w:iCs/>
          <w:color w:val="000000"/>
          <w:lang w:val="en-US"/>
        </w:rPr>
        <w:t>et al.</w:t>
      </w:r>
      <w:r w:rsidRPr="0008591A">
        <w:rPr>
          <w:color w:val="000000"/>
          <w:lang w:val="en-US"/>
        </w:rPr>
        <w:t>, “Hybrid CNN-LSTM deep learning framework for prodromal Parkinson’s disease detection,” 2024.</w:t>
      </w:r>
    </w:p>
    <w:p w14:paraId="65C0D1B6" w14:textId="77777777" w:rsidR="0008591A" w:rsidRPr="0008591A" w:rsidRDefault="0008591A" w:rsidP="0008591A">
      <w:pPr>
        <w:spacing w:before="160" w:after="80" w:line="276" w:lineRule="auto"/>
        <w:rPr>
          <w:color w:val="000000"/>
          <w:lang w:val="en-US"/>
        </w:rPr>
      </w:pPr>
      <w:r w:rsidRPr="0008591A">
        <w:rPr>
          <w:color w:val="000000"/>
          <w:lang w:val="en-US"/>
        </w:rPr>
        <w:t xml:space="preserve">[18] A. Alorf, “An optimized framework for Parkinson’s disease classification using multimodal neuroimaging data with ensemble-based and data fusion networks,” </w:t>
      </w:r>
      <w:r w:rsidRPr="0008591A">
        <w:rPr>
          <w:i/>
          <w:iCs/>
          <w:color w:val="000000"/>
          <w:lang w:val="en-US"/>
        </w:rPr>
        <w:t>Comput. Biol. Med.</w:t>
      </w:r>
      <w:r w:rsidRPr="0008591A">
        <w:rPr>
          <w:color w:val="000000"/>
          <w:lang w:val="en-US"/>
        </w:rPr>
        <w:t>, vol. 198, Art. no. 111126, 2025, doi: 10.1016/j.compbiomed.2025.111126.</w:t>
      </w:r>
    </w:p>
    <w:p w14:paraId="313A14E6" w14:textId="77777777" w:rsidR="0008591A" w:rsidRPr="0008591A" w:rsidRDefault="0008591A" w:rsidP="0008591A">
      <w:pPr>
        <w:spacing w:before="160" w:after="80" w:line="276" w:lineRule="auto"/>
        <w:rPr>
          <w:color w:val="000000"/>
          <w:lang w:val="en-US"/>
        </w:rPr>
      </w:pPr>
      <w:r w:rsidRPr="0008591A">
        <w:rPr>
          <w:color w:val="000000"/>
          <w:lang w:val="en-US"/>
        </w:rPr>
        <w:t xml:space="preserve">[19] K. Kotecha, S. Priyadharshini, K. Ramkumar, </w:t>
      </w:r>
      <w:r w:rsidRPr="0008591A">
        <w:rPr>
          <w:i/>
          <w:iCs/>
          <w:color w:val="000000"/>
          <w:lang w:val="en-US"/>
        </w:rPr>
        <w:t>et al.</w:t>
      </w:r>
      <w:r w:rsidRPr="0008591A">
        <w:rPr>
          <w:color w:val="000000"/>
          <w:lang w:val="en-US"/>
        </w:rPr>
        <w:t xml:space="preserve">, “A comprehensive framework for Parkinson’s disease diagnosis using explainable artificial intelligence empowered machine learning techniques,” </w:t>
      </w:r>
      <w:r w:rsidRPr="0008591A">
        <w:rPr>
          <w:i/>
          <w:iCs/>
          <w:color w:val="000000"/>
          <w:lang w:val="en-US"/>
        </w:rPr>
        <w:t>Alexandria Eng. J.</w:t>
      </w:r>
      <w:r w:rsidRPr="0008591A">
        <w:rPr>
          <w:color w:val="000000"/>
          <w:lang w:val="en-US"/>
        </w:rPr>
        <w:t>, vol. 107, pp. 568–582, 2024, doi: 10.1016/j.aej.2024.07.106.</w:t>
      </w:r>
    </w:p>
    <w:p w14:paraId="1C4096F8" w14:textId="77777777" w:rsidR="0008591A" w:rsidRPr="0008591A" w:rsidRDefault="0008591A" w:rsidP="0008591A">
      <w:pPr>
        <w:spacing w:before="160" w:after="80" w:line="276" w:lineRule="auto"/>
        <w:rPr>
          <w:color w:val="000000"/>
          <w:lang w:val="en-US"/>
        </w:rPr>
      </w:pPr>
      <w:r w:rsidRPr="0008591A">
        <w:rPr>
          <w:color w:val="000000"/>
          <w:lang w:val="en-US"/>
        </w:rPr>
        <w:t xml:space="preserve">[20] S. Liu, Z. Wang, K. Yang, </w:t>
      </w:r>
      <w:r w:rsidRPr="0008591A">
        <w:rPr>
          <w:i/>
          <w:iCs/>
          <w:color w:val="000000"/>
          <w:lang w:val="en-US"/>
        </w:rPr>
        <w:t>et al.</w:t>
      </w:r>
      <w:r w:rsidRPr="0008591A">
        <w:rPr>
          <w:color w:val="000000"/>
          <w:lang w:val="en-US"/>
        </w:rPr>
        <w:t>, “Multimodal deep learning with speech and wearable sensor fusion for Parkinson’s disease staging,” 2025.</w:t>
      </w:r>
    </w:p>
    <w:p w14:paraId="74EC72A5" w14:textId="77777777" w:rsidR="0008591A" w:rsidRPr="0008591A" w:rsidRDefault="0008591A" w:rsidP="0008591A">
      <w:pPr>
        <w:spacing w:before="160" w:after="80" w:line="276" w:lineRule="auto"/>
        <w:rPr>
          <w:color w:val="000000"/>
          <w:lang w:val="en-US"/>
        </w:rPr>
      </w:pPr>
      <w:r w:rsidRPr="0008591A">
        <w:rPr>
          <w:color w:val="000000"/>
          <w:lang w:val="en-US"/>
        </w:rPr>
        <w:t xml:space="preserve">[21] M. Ji, H. Dong, L. Guo, and W. Li, “Diagnosis and severity rating of Parkinson’s disease based on multimodal gait signal analysis with GLRT and ST-CNN-Transformer networks,” </w:t>
      </w:r>
      <w:r w:rsidRPr="0008591A">
        <w:rPr>
          <w:i/>
          <w:iCs/>
          <w:color w:val="000000"/>
          <w:lang w:val="en-US"/>
        </w:rPr>
        <w:t>IEEE J. Transl. Eng. Health Med.</w:t>
      </w:r>
      <w:r w:rsidRPr="0008591A">
        <w:rPr>
          <w:color w:val="000000"/>
          <w:lang w:val="en-US"/>
        </w:rPr>
        <w:t>, vol. 13, pp. 450–460, 2025, doi: 10.1109/JTEHM.2025.3611498.</w:t>
      </w:r>
    </w:p>
    <w:p w14:paraId="2DF719E1" w14:textId="77777777" w:rsidR="0008591A" w:rsidRPr="0008591A" w:rsidRDefault="0008591A" w:rsidP="0008591A">
      <w:pPr>
        <w:spacing w:before="160" w:after="80" w:line="276" w:lineRule="auto"/>
        <w:rPr>
          <w:color w:val="000000"/>
          <w:lang w:val="en-US"/>
        </w:rPr>
      </w:pPr>
      <w:r w:rsidRPr="0008591A">
        <w:rPr>
          <w:color w:val="000000"/>
          <w:lang w:val="en-US"/>
        </w:rPr>
        <w:t xml:space="preserve">[22] N. Xu, C. Wang, L. Peng, X.-H. Zhou, J. Chen, Z. Cheng, and Z.-G. Hou, “A graph-based multimodal fusion framework for assessment of freezing of gait in Parkinson’s disease,” </w:t>
      </w:r>
      <w:r w:rsidRPr="0008591A">
        <w:rPr>
          <w:i/>
          <w:iCs/>
          <w:color w:val="000000"/>
          <w:lang w:val="en-US"/>
        </w:rPr>
        <w:t>IEEE Trans. Neural Syst. Rehabil. Eng.</w:t>
      </w:r>
      <w:r w:rsidRPr="0008591A">
        <w:rPr>
          <w:color w:val="000000"/>
          <w:lang w:val="en-US"/>
        </w:rPr>
        <w:t>, vol. 33, pp. 1539–1549, 2025, doi: 10.1109/TNSRE.2025.3561942.</w:t>
      </w:r>
    </w:p>
    <w:p w14:paraId="7BA8A2FA" w14:textId="77777777" w:rsidR="0008591A" w:rsidRPr="0008591A" w:rsidRDefault="0008591A" w:rsidP="0008591A">
      <w:pPr>
        <w:spacing w:before="160" w:after="80" w:line="276" w:lineRule="auto"/>
        <w:rPr>
          <w:color w:val="000000"/>
          <w:lang w:val="en-US"/>
        </w:rPr>
      </w:pPr>
      <w:r w:rsidRPr="0008591A">
        <w:rPr>
          <w:color w:val="000000"/>
          <w:lang w:val="en-US"/>
        </w:rPr>
        <w:t xml:space="preserve">[23] K. D. Raj, G. J. Lal, E. A. Gopalakrishnan, V. Sowmya, and J. R. Orozco-Arroyave, “A visibility graph approach for multi-stage classification of Parkinson’s disease using </w:t>
      </w:r>
      <w:r w:rsidRPr="0008591A">
        <w:rPr>
          <w:color w:val="000000"/>
          <w:lang w:val="en-US"/>
        </w:rPr>
        <w:lastRenderedPageBreak/>
        <w:t xml:space="preserve">multimodal data,” </w:t>
      </w:r>
      <w:r w:rsidRPr="0008591A">
        <w:rPr>
          <w:i/>
          <w:iCs/>
          <w:color w:val="000000"/>
          <w:lang w:val="en-US"/>
        </w:rPr>
        <w:t>IEEE Access</w:t>
      </w:r>
      <w:r w:rsidRPr="0008591A">
        <w:rPr>
          <w:color w:val="000000"/>
          <w:lang w:val="en-US"/>
        </w:rPr>
        <w:t>, vol. 12, pp. 87077–87096, 2024, doi: 10.1109/ACCESS.2024.3416444.</w:t>
      </w:r>
    </w:p>
    <w:p w14:paraId="0F8153A6" w14:textId="77777777" w:rsidR="0008591A" w:rsidRPr="0008591A" w:rsidRDefault="0008591A" w:rsidP="0008591A">
      <w:pPr>
        <w:spacing w:before="160" w:after="80" w:line="276" w:lineRule="auto"/>
        <w:rPr>
          <w:color w:val="000000"/>
          <w:lang w:val="en-US"/>
        </w:rPr>
      </w:pPr>
      <w:r w:rsidRPr="0008591A">
        <w:rPr>
          <w:color w:val="000000"/>
          <w:lang w:val="en-US"/>
        </w:rPr>
        <w:t xml:space="preserve">[24] K. D. Raj, G. J. Lal, E. A. Gopalakrishnan, and J. R. Orozco-Arroyave, “Recurrence network approach for severity classification of Parkinson’s disease using multimodal data,” </w:t>
      </w:r>
      <w:r w:rsidRPr="0008591A">
        <w:rPr>
          <w:i/>
          <w:iCs/>
          <w:color w:val="000000"/>
          <w:lang w:val="en-US"/>
        </w:rPr>
        <w:t>IEEE Access</w:t>
      </w:r>
      <w:r w:rsidRPr="0008591A">
        <w:rPr>
          <w:color w:val="000000"/>
          <w:lang w:val="en-US"/>
        </w:rPr>
        <w:t>, vol. 14, pp. 70613–70634, 2026, doi: 10.1109/ACCESS.2026.3691536.</w:t>
      </w:r>
    </w:p>
    <w:p w14:paraId="6F72C079" w14:textId="77777777" w:rsidR="0008591A" w:rsidRPr="0008591A" w:rsidRDefault="0008591A" w:rsidP="0008591A">
      <w:pPr>
        <w:spacing w:before="160" w:after="80" w:line="276" w:lineRule="auto"/>
        <w:rPr>
          <w:color w:val="000000"/>
          <w:lang w:val="en-US"/>
        </w:rPr>
      </w:pPr>
      <w:r w:rsidRPr="0008591A">
        <w:rPr>
          <w:color w:val="000000"/>
          <w:lang w:val="en-US"/>
        </w:rPr>
        <w:t xml:space="preserve">[25] A. Ivanova, A. Shcherbak, S. Nesteruk, E. Bril, A. Baldycheva, and A. Somov, “Parkinson’s disease detection through multimodal data analysis,” </w:t>
      </w:r>
      <w:r w:rsidRPr="0008591A">
        <w:rPr>
          <w:i/>
          <w:iCs/>
          <w:color w:val="000000"/>
          <w:lang w:val="en-US"/>
        </w:rPr>
        <w:t>Smart Health</w:t>
      </w:r>
      <w:r w:rsidRPr="0008591A">
        <w:rPr>
          <w:color w:val="000000"/>
          <w:lang w:val="en-US"/>
        </w:rPr>
        <w:t>, vol. 38, Art. no. 100618, 2025, doi: 10.1016/j.smhl.2025.100618.</w:t>
      </w:r>
    </w:p>
    <w:p w14:paraId="204ED280" w14:textId="77777777" w:rsidR="0008591A" w:rsidRPr="0008591A" w:rsidRDefault="0008591A" w:rsidP="0008591A">
      <w:pPr>
        <w:spacing w:before="160" w:after="80" w:line="276" w:lineRule="auto"/>
        <w:rPr>
          <w:color w:val="000000"/>
          <w:lang w:val="en-US"/>
        </w:rPr>
      </w:pPr>
      <w:r w:rsidRPr="0008591A">
        <w:rPr>
          <w:color w:val="000000"/>
          <w:lang w:val="en-US"/>
        </w:rPr>
        <w:t xml:space="preserve">[26] X. Bi, J. Liu, F. Meng, H. Li, J. Ma, D. Cai, W. Qi, X. Zhang, and W. Jiang, “Diagnosis of Parkinson’s disease by Archimedes spiral dynamic handwriting analysis based on Dual-head Multimodal Networks,” </w:t>
      </w:r>
      <w:r w:rsidRPr="0008591A">
        <w:rPr>
          <w:i/>
          <w:iCs/>
          <w:color w:val="000000"/>
          <w:lang w:val="en-US"/>
        </w:rPr>
        <w:t>Biomed. Signal Process. Control</w:t>
      </w:r>
      <w:r w:rsidRPr="0008591A">
        <w:rPr>
          <w:color w:val="000000"/>
          <w:lang w:val="en-US"/>
        </w:rPr>
        <w:t>, vol. 112, Art. no. 108448, 2026, doi: 10.1016/j.bspc.2025.108448.</w:t>
      </w:r>
    </w:p>
    <w:p w14:paraId="0AEE4BC0" w14:textId="77777777" w:rsidR="0008591A" w:rsidRPr="0008591A" w:rsidRDefault="0008591A" w:rsidP="0008591A">
      <w:pPr>
        <w:spacing w:before="160" w:after="80" w:line="276" w:lineRule="auto"/>
        <w:rPr>
          <w:color w:val="000000"/>
          <w:lang w:val="en-US"/>
        </w:rPr>
      </w:pPr>
      <w:r w:rsidRPr="0008591A">
        <w:rPr>
          <w:color w:val="000000"/>
          <w:lang w:val="en-US"/>
        </w:rPr>
        <w:t xml:space="preserve">[27] S. K. Anumandla, A. Krishnakumar, S. Kumar E., K. Kabilan, and S. Sandosh, “Interpretable AI for Parkinson’s disease: Multimodal deep learning with explainable attention for Parkinson’s disease diagnosis,” </w:t>
      </w:r>
      <w:r w:rsidRPr="0008591A">
        <w:rPr>
          <w:i/>
          <w:iCs/>
          <w:color w:val="000000"/>
          <w:lang w:val="en-US"/>
        </w:rPr>
        <w:t>Biomed. Signal Process. Control</w:t>
      </w:r>
      <w:r w:rsidRPr="0008591A">
        <w:rPr>
          <w:color w:val="000000"/>
          <w:lang w:val="en-US"/>
        </w:rPr>
        <w:t>, vol. 120, Art. no. 110006, 2026, doi: 10.1016/j.bspc.2026.110006.</w:t>
      </w:r>
    </w:p>
    <w:p w14:paraId="72DCB0A8" w14:textId="77777777" w:rsidR="0008591A" w:rsidRPr="0008591A" w:rsidRDefault="0008591A" w:rsidP="0008591A">
      <w:pPr>
        <w:spacing w:before="160" w:after="80" w:line="276" w:lineRule="auto"/>
        <w:rPr>
          <w:color w:val="000000"/>
          <w:lang w:val="en-US"/>
        </w:rPr>
      </w:pPr>
      <w:r w:rsidRPr="0008591A">
        <w:rPr>
          <w:color w:val="000000"/>
          <w:lang w:val="en-US"/>
        </w:rPr>
        <w:t xml:space="preserve">[28] M. Sousani, R. F. Rojas, E. Preston, and M. Ghahramani, “Early-stage Parkinson’s disease detection using multimodal brain–body biomarkers from fNIRS and IMU data,” </w:t>
      </w:r>
      <w:r w:rsidRPr="0008591A">
        <w:rPr>
          <w:i/>
          <w:iCs/>
          <w:color w:val="000000"/>
          <w:lang w:val="en-US"/>
        </w:rPr>
        <w:t>Comput. Biol. Med.</w:t>
      </w:r>
      <w:r w:rsidRPr="0008591A">
        <w:rPr>
          <w:color w:val="000000"/>
          <w:lang w:val="en-US"/>
        </w:rPr>
        <w:t>, vol. 197, Art. no. 111096, 2025, doi: 10.1016/j.compbiomed.2025.111096.</w:t>
      </w:r>
    </w:p>
    <w:p w14:paraId="177207CF" w14:textId="77777777" w:rsidR="0008591A" w:rsidRPr="0008591A" w:rsidRDefault="0008591A" w:rsidP="0008591A">
      <w:pPr>
        <w:spacing w:before="160" w:after="80" w:line="276" w:lineRule="auto"/>
        <w:rPr>
          <w:color w:val="000000"/>
          <w:lang w:val="en-US"/>
        </w:rPr>
      </w:pPr>
      <w:r w:rsidRPr="0008591A">
        <w:rPr>
          <w:color w:val="000000"/>
          <w:lang w:val="en-US"/>
        </w:rPr>
        <w:t xml:space="preserve">[29] H. Park, C. Youm, S.-M. Cheon, B. Kim, H. Choi, J. Hwang, and M. Kim, “Using machine learning to identify Parkinson’s disease severity subtypes with multimodal data,” </w:t>
      </w:r>
      <w:r w:rsidRPr="0008591A">
        <w:rPr>
          <w:i/>
          <w:iCs/>
          <w:color w:val="000000"/>
          <w:lang w:val="en-US"/>
        </w:rPr>
        <w:t>J. Neuroeng. Rehabil.</w:t>
      </w:r>
      <w:r w:rsidRPr="0008591A">
        <w:rPr>
          <w:color w:val="000000"/>
          <w:lang w:val="en-US"/>
        </w:rPr>
        <w:t>, vol. 22, Art. no. 126, 2025, doi: 10.1186/s12984-025-01648-2.</w:t>
      </w:r>
    </w:p>
    <w:p w14:paraId="0CA23D89" w14:textId="77777777" w:rsidR="0008591A" w:rsidRPr="0008591A" w:rsidRDefault="0008591A" w:rsidP="0008591A">
      <w:pPr>
        <w:spacing w:before="160" w:after="80" w:line="276" w:lineRule="auto"/>
        <w:rPr>
          <w:color w:val="000000"/>
          <w:lang w:val="en-US"/>
        </w:rPr>
      </w:pPr>
      <w:r w:rsidRPr="0008591A">
        <w:rPr>
          <w:color w:val="000000"/>
          <w:lang w:val="en-US"/>
        </w:rPr>
        <w:t xml:space="preserve">[30] V. Awasthi, </w:t>
      </w:r>
      <w:r w:rsidRPr="0008591A">
        <w:rPr>
          <w:i/>
          <w:iCs/>
          <w:color w:val="000000"/>
          <w:lang w:val="en-US"/>
        </w:rPr>
        <w:t>et al.</w:t>
      </w:r>
      <w:r w:rsidRPr="0008591A">
        <w:rPr>
          <w:color w:val="000000"/>
          <w:lang w:val="en-US"/>
        </w:rPr>
        <w:t xml:space="preserve">, “HyCoSwin-PD: An explainable hybrid ConvNeXtV2-Swin Transformer framework for Parkinson’s disease detection from neuroimaging,” </w:t>
      </w:r>
      <w:r w:rsidRPr="0008591A">
        <w:rPr>
          <w:i/>
          <w:iCs/>
          <w:color w:val="000000"/>
          <w:lang w:val="en-US"/>
        </w:rPr>
        <w:t>MethodsX</w:t>
      </w:r>
      <w:r w:rsidRPr="0008591A">
        <w:rPr>
          <w:color w:val="000000"/>
          <w:lang w:val="en-US"/>
        </w:rPr>
        <w:t>, vol. 16, Art. no. 103868, 2026, doi: 10.1016/j.mex.2026.103868.</w:t>
      </w:r>
    </w:p>
    <w:p w14:paraId="471F6020" w14:textId="77777777" w:rsidR="0008591A" w:rsidRPr="0008591A" w:rsidRDefault="0008591A" w:rsidP="0008591A">
      <w:pPr>
        <w:spacing w:before="160" w:after="80" w:line="276" w:lineRule="auto"/>
        <w:rPr>
          <w:color w:val="000000"/>
          <w:lang w:val="en-US"/>
        </w:rPr>
      </w:pPr>
      <w:r w:rsidRPr="0008591A">
        <w:rPr>
          <w:color w:val="000000"/>
          <w:lang w:val="en-US"/>
        </w:rPr>
        <w:t xml:space="preserve">[31] M. Angiolelli, D. Depannemaecker, H. Agouram, J. Régis, R. Carron, M. Woodman, L. Chiodo, P. Triebkorn, A. Ziaeemehr, M. Hashemi, A. Eusebio, V. Jirsa, and P. Sorrentino, “The Virtual Parkinsonian patient,” </w:t>
      </w:r>
      <w:r w:rsidRPr="0008591A">
        <w:rPr>
          <w:i/>
          <w:iCs/>
          <w:color w:val="000000"/>
          <w:lang w:val="en-US"/>
        </w:rPr>
        <w:t>npj Syst. Biol. Appl.</w:t>
      </w:r>
      <w:r w:rsidRPr="0008591A">
        <w:rPr>
          <w:color w:val="000000"/>
          <w:lang w:val="en-US"/>
        </w:rPr>
        <w:t>, vol. 11, Art. no. 40, 2025, doi: 10.1038/s41540-025-00516-y.</w:t>
      </w:r>
    </w:p>
    <w:p w14:paraId="19B77DAD" w14:textId="77777777" w:rsidR="0008591A" w:rsidRPr="0008591A" w:rsidRDefault="0008591A" w:rsidP="0008591A">
      <w:pPr>
        <w:spacing w:before="160" w:after="80" w:line="276" w:lineRule="auto"/>
        <w:rPr>
          <w:color w:val="000000"/>
          <w:lang w:val="en-US"/>
        </w:rPr>
      </w:pPr>
      <w:r w:rsidRPr="0008591A">
        <w:rPr>
          <w:color w:val="000000"/>
          <w:lang w:val="en-US"/>
        </w:rPr>
        <w:t xml:space="preserve">[32] P. Ritter </w:t>
      </w:r>
      <w:r w:rsidRPr="0008591A">
        <w:rPr>
          <w:i/>
          <w:iCs/>
          <w:color w:val="000000"/>
          <w:lang w:val="en-US"/>
        </w:rPr>
        <w:t>et al.</w:t>
      </w:r>
      <w:r w:rsidRPr="0008591A">
        <w:rPr>
          <w:color w:val="000000"/>
          <w:lang w:val="en-US"/>
        </w:rPr>
        <w:t>, “Personalized whole-brain modelling and simulation for neurodegenerative disease,” 2024.</w:t>
      </w:r>
    </w:p>
    <w:p w14:paraId="2F5D055B" w14:textId="77777777" w:rsidR="0008591A" w:rsidRPr="0008591A" w:rsidRDefault="0008591A" w:rsidP="0008591A">
      <w:pPr>
        <w:spacing w:before="160" w:after="80" w:line="276" w:lineRule="auto"/>
        <w:rPr>
          <w:color w:val="000000"/>
          <w:lang w:val="en-US"/>
        </w:rPr>
      </w:pPr>
      <w:r w:rsidRPr="0008591A">
        <w:rPr>
          <w:color w:val="000000"/>
          <w:lang w:val="en-US"/>
        </w:rPr>
        <w:t xml:space="preserve">[33] V. Jirsa </w:t>
      </w:r>
      <w:r w:rsidRPr="0008591A">
        <w:rPr>
          <w:i/>
          <w:iCs/>
          <w:color w:val="000000"/>
          <w:lang w:val="en-US"/>
        </w:rPr>
        <w:t>et al.</w:t>
      </w:r>
      <w:r w:rsidRPr="0008591A">
        <w:rPr>
          <w:color w:val="000000"/>
          <w:lang w:val="en-US"/>
        </w:rPr>
        <w:t>, “Personalized whole-brain network models for disease progression simulation,” 2024.</w:t>
      </w:r>
    </w:p>
    <w:p w14:paraId="1EA32DAE" w14:textId="77777777" w:rsidR="0008591A" w:rsidRPr="0008591A" w:rsidRDefault="0008591A" w:rsidP="0008591A">
      <w:pPr>
        <w:spacing w:before="160" w:after="80" w:line="276" w:lineRule="auto"/>
        <w:rPr>
          <w:color w:val="000000"/>
          <w:lang w:val="en-US"/>
        </w:rPr>
      </w:pPr>
      <w:r w:rsidRPr="0008591A">
        <w:rPr>
          <w:color w:val="000000"/>
          <w:lang w:val="en-US"/>
        </w:rPr>
        <w:t xml:space="preserve">[34] J. Wen, “Towards a multi-organ, multi-omics medical digital twin,” </w:t>
      </w:r>
      <w:r w:rsidRPr="0008591A">
        <w:rPr>
          <w:i/>
          <w:iCs/>
          <w:color w:val="000000"/>
          <w:lang w:val="en-US"/>
        </w:rPr>
        <w:t>Nat. Biomed. Eng.</w:t>
      </w:r>
      <w:r w:rsidRPr="0008591A">
        <w:rPr>
          <w:color w:val="000000"/>
          <w:lang w:val="en-US"/>
        </w:rPr>
        <w:t>, vol. 9, pp. 1386–1389, 2025, doi: 10.1038/s41551-025-01474-w.</w:t>
      </w:r>
    </w:p>
    <w:p w14:paraId="751C39D5" w14:textId="77777777" w:rsidR="0008591A" w:rsidRPr="0008591A" w:rsidRDefault="0008591A" w:rsidP="0008591A">
      <w:pPr>
        <w:spacing w:before="160" w:after="80" w:line="276" w:lineRule="auto"/>
        <w:rPr>
          <w:color w:val="000000"/>
          <w:lang w:val="en-US"/>
        </w:rPr>
      </w:pPr>
      <w:r w:rsidRPr="0008591A">
        <w:rPr>
          <w:color w:val="000000"/>
          <w:lang w:val="en-US"/>
        </w:rPr>
        <w:t xml:space="preserve">[35] Y. Zhang, Z. Song, and Q. Cai, “A data-driven AI framework for personalized diagnosis, prognosis, and therapeutic optimization in chronic disease management using multimodal big </w:t>
      </w:r>
      <w:r w:rsidRPr="0008591A">
        <w:rPr>
          <w:color w:val="000000"/>
          <w:lang w:val="en-US"/>
        </w:rPr>
        <w:lastRenderedPageBreak/>
        <w:t xml:space="preserve">data analytics,” </w:t>
      </w:r>
      <w:r w:rsidRPr="0008591A">
        <w:rPr>
          <w:i/>
          <w:iCs/>
          <w:color w:val="000000"/>
          <w:lang w:val="en-US"/>
        </w:rPr>
        <w:t>Front. Mol. Biosci.</w:t>
      </w:r>
      <w:r w:rsidRPr="0008591A">
        <w:rPr>
          <w:color w:val="000000"/>
          <w:lang w:val="en-US"/>
        </w:rPr>
        <w:t>, vol. 12, Art. no. 1689168, 2026, doi: 10.3389/fmolb.2025.1689168.</w:t>
      </w:r>
    </w:p>
    <w:p w14:paraId="56E3A779" w14:textId="77777777" w:rsidR="0008591A" w:rsidRPr="0008591A" w:rsidRDefault="0008591A" w:rsidP="0008591A">
      <w:pPr>
        <w:spacing w:before="160" w:after="80" w:line="276" w:lineRule="auto"/>
        <w:rPr>
          <w:color w:val="000000"/>
          <w:lang w:val="en-US"/>
        </w:rPr>
      </w:pPr>
      <w:r w:rsidRPr="0008591A">
        <w:rPr>
          <w:color w:val="000000"/>
          <w:lang w:val="en-US"/>
        </w:rPr>
        <w:t xml:space="preserve">[36] A. De Benedictis, N. Mazzocca, A. Somma, and C. Strigaro, “Digital twins in healthcare: An architectural proposal and its application in a social distancing case study,” </w:t>
      </w:r>
      <w:r w:rsidRPr="0008591A">
        <w:rPr>
          <w:i/>
          <w:iCs/>
          <w:color w:val="000000"/>
          <w:lang w:val="en-US"/>
        </w:rPr>
        <w:t>IEEE J. Biomed. Health Inform.</w:t>
      </w:r>
      <w:r w:rsidRPr="0008591A">
        <w:rPr>
          <w:color w:val="000000"/>
          <w:lang w:val="en-US"/>
        </w:rPr>
        <w:t>, vol. 27, no. 10, pp. 5143–5154, 2023, doi: 10.1109/JBHI.2022.3205506.</w:t>
      </w:r>
    </w:p>
    <w:p w14:paraId="769CB9FA" w14:textId="77777777" w:rsidR="0008591A" w:rsidRPr="0008591A" w:rsidRDefault="0008591A" w:rsidP="0008591A">
      <w:pPr>
        <w:spacing w:before="160" w:after="80" w:line="276" w:lineRule="auto"/>
        <w:rPr>
          <w:color w:val="000000"/>
          <w:lang w:val="en-US"/>
        </w:rPr>
      </w:pPr>
      <w:r w:rsidRPr="0008591A">
        <w:rPr>
          <w:color w:val="000000"/>
          <w:lang w:val="en-US"/>
        </w:rPr>
        <w:t xml:space="preserve">[37] M. S. Roopa and K. R. Venugopal, “Digital twins for cyber-physical healthcare systems: Architecture, requirements, systematic analysis, and future prospects,” </w:t>
      </w:r>
      <w:r w:rsidRPr="0008591A">
        <w:rPr>
          <w:i/>
          <w:iCs/>
          <w:color w:val="000000"/>
          <w:lang w:val="en-US"/>
        </w:rPr>
        <w:t>IEEE Access</w:t>
      </w:r>
      <w:r w:rsidRPr="0008591A">
        <w:rPr>
          <w:color w:val="000000"/>
          <w:lang w:val="en-US"/>
        </w:rPr>
        <w:t>, vol. 13, pp. 44963–44996, 2025, doi: 10.1109/ACCESS.2025.3547991.</w:t>
      </w:r>
    </w:p>
    <w:p w14:paraId="759790AC" w14:textId="77777777" w:rsidR="0008591A" w:rsidRPr="0008591A" w:rsidRDefault="0008591A" w:rsidP="0008591A">
      <w:pPr>
        <w:spacing w:before="160" w:after="80" w:line="276" w:lineRule="auto"/>
        <w:rPr>
          <w:color w:val="000000"/>
          <w:lang w:val="en-US"/>
        </w:rPr>
      </w:pPr>
      <w:r w:rsidRPr="0008591A">
        <w:rPr>
          <w:color w:val="000000"/>
          <w:lang w:val="en-US"/>
        </w:rPr>
        <w:t xml:space="preserve">[38] S. A. Rahimi, A. Baradaran, F. Khameneifar, G. Gore, and A. M. Issa, “DECIDE-Twin: A framework for AI-enabled digital twins in clinical decision-making,” </w:t>
      </w:r>
      <w:r w:rsidRPr="0008591A">
        <w:rPr>
          <w:i/>
          <w:iCs/>
          <w:color w:val="000000"/>
          <w:lang w:val="en-US"/>
        </w:rPr>
        <w:t>IEEE J. Biomed. Health Inform.</w:t>
      </w:r>
      <w:r w:rsidRPr="0008591A">
        <w:rPr>
          <w:color w:val="000000"/>
          <w:lang w:val="en-US"/>
        </w:rPr>
        <w:t>, vol. 29, no. 9, pp. 6332–6341, 2025, doi: 10.1109/JBHI.2024.3521717.</w:t>
      </w:r>
    </w:p>
    <w:p w14:paraId="52960334" w14:textId="77777777" w:rsidR="0008591A" w:rsidRPr="0008591A" w:rsidRDefault="0008591A" w:rsidP="0008591A">
      <w:pPr>
        <w:spacing w:before="160" w:after="80" w:line="276" w:lineRule="auto"/>
        <w:rPr>
          <w:color w:val="000000"/>
          <w:lang w:val="en-US"/>
        </w:rPr>
      </w:pPr>
      <w:r w:rsidRPr="0008591A">
        <w:rPr>
          <w:color w:val="000000"/>
          <w:lang w:val="en-US"/>
        </w:rPr>
        <w:t xml:space="preserve">[39] H. Kim, C. Park, J. H. Kim, S. Jang, and H. K. Lee, “Multimodal reinforcement learning for embedding networks and medication recommendation in Parkinson’s disease,” </w:t>
      </w:r>
      <w:r w:rsidRPr="0008591A">
        <w:rPr>
          <w:i/>
          <w:iCs/>
          <w:color w:val="000000"/>
          <w:lang w:val="en-US"/>
        </w:rPr>
        <w:t>IEEE Access</w:t>
      </w:r>
      <w:r w:rsidRPr="0008591A">
        <w:rPr>
          <w:color w:val="000000"/>
          <w:lang w:val="en-US"/>
        </w:rPr>
        <w:t>, vol. 12, pp. 74251–74267, 2024, doi: 10.1109/ACCESS.2024.3405009.</w:t>
      </w:r>
    </w:p>
    <w:p w14:paraId="6005D14F" w14:textId="77777777" w:rsidR="0008591A" w:rsidRPr="0008591A" w:rsidRDefault="0008591A" w:rsidP="0008591A">
      <w:pPr>
        <w:spacing w:before="160" w:after="80" w:line="276" w:lineRule="auto"/>
        <w:rPr>
          <w:color w:val="000000"/>
          <w:lang w:val="en-US"/>
        </w:rPr>
      </w:pPr>
      <w:r w:rsidRPr="0008591A">
        <w:rPr>
          <w:color w:val="000000"/>
          <w:lang w:val="en-US"/>
        </w:rPr>
        <w:t xml:space="preserve">[40] B. P. Danek, M. B. Makarious, A. Dadu, D. Vitale, P. S. Lee, A. B. Singleton, M. A. Nalls, J. Sun, and F. Faghri, “Federated learning for multi-omics: A performance evaluation in Parkinson’s disease,” </w:t>
      </w:r>
      <w:r w:rsidRPr="0008591A">
        <w:rPr>
          <w:i/>
          <w:iCs/>
          <w:color w:val="000000"/>
          <w:lang w:val="en-US"/>
        </w:rPr>
        <w:t>Patterns</w:t>
      </w:r>
      <w:r w:rsidRPr="0008591A">
        <w:rPr>
          <w:color w:val="000000"/>
          <w:lang w:val="en-US"/>
        </w:rPr>
        <w:t>, vol. 5, no. 3, Art. no. 100945, 2024, doi: 10.1016/j.patter.2024.100945.</w:t>
      </w:r>
    </w:p>
    <w:p w14:paraId="5A3BA15C" w14:textId="77777777" w:rsidR="0008591A" w:rsidRPr="0008591A" w:rsidRDefault="0008591A" w:rsidP="0008591A">
      <w:pPr>
        <w:spacing w:before="160" w:after="80" w:line="276" w:lineRule="auto"/>
        <w:rPr>
          <w:color w:val="000000"/>
          <w:lang w:val="en-US"/>
        </w:rPr>
      </w:pPr>
      <w:r w:rsidRPr="0008591A">
        <w:rPr>
          <w:color w:val="000000"/>
          <w:lang w:val="en-US"/>
        </w:rPr>
        <w:t xml:space="preserve">[41] P. Ducange, F. Marcelloni, A. Renda, and F. Ruffini, “Federated learning of XAI models in healthcare: A case study on Parkinson’s disease,” </w:t>
      </w:r>
      <w:r w:rsidRPr="0008591A">
        <w:rPr>
          <w:i/>
          <w:iCs/>
          <w:color w:val="000000"/>
          <w:lang w:val="en-US"/>
        </w:rPr>
        <w:t>Cogn. Comput.</w:t>
      </w:r>
      <w:r w:rsidRPr="0008591A">
        <w:rPr>
          <w:color w:val="000000"/>
          <w:lang w:val="en-US"/>
        </w:rPr>
        <w:t>, vol. 16, pp. 3051–3076, 2024, doi: 10.1007/s12559-024-10332-x.</w:t>
      </w:r>
    </w:p>
    <w:p w14:paraId="3CAA2236" w14:textId="77777777" w:rsidR="0008591A" w:rsidRPr="0008591A" w:rsidRDefault="0008591A" w:rsidP="0008591A">
      <w:pPr>
        <w:spacing w:before="160" w:after="80" w:line="276" w:lineRule="auto"/>
        <w:rPr>
          <w:color w:val="000000"/>
          <w:lang w:val="en-US"/>
        </w:rPr>
      </w:pPr>
      <w:r w:rsidRPr="0008591A">
        <w:rPr>
          <w:color w:val="000000"/>
          <w:lang w:val="en-US"/>
        </w:rPr>
        <w:t xml:space="preserve">[42] Z. Huang, J. Li, J. Yang, J. Wan, J. Chen, Z. Yang, M. Shi, and R. Zhou, “Parkinson’s disease classification and prediction via adaptive sparse learning from multiple modalities,” </w:t>
      </w:r>
      <w:r w:rsidRPr="0008591A">
        <w:rPr>
          <w:i/>
          <w:iCs/>
          <w:color w:val="000000"/>
          <w:lang w:val="en-US"/>
        </w:rPr>
        <w:t>Biomed. Signal Process. Control</w:t>
      </w:r>
      <w:r w:rsidRPr="0008591A">
        <w:rPr>
          <w:color w:val="000000"/>
          <w:lang w:val="en-US"/>
        </w:rPr>
        <w:t>, vol. 100, Art. no. 107061, 2025, doi: 10.1016/j.bspc.2024.107061.</w:t>
      </w:r>
    </w:p>
    <w:p w14:paraId="65EF38A6" w14:textId="77777777" w:rsidR="0008591A" w:rsidRPr="0008591A" w:rsidRDefault="0008591A" w:rsidP="0008591A">
      <w:pPr>
        <w:spacing w:before="160" w:after="80" w:line="276" w:lineRule="auto"/>
        <w:rPr>
          <w:color w:val="000000"/>
          <w:lang w:val="en-US"/>
        </w:rPr>
      </w:pPr>
      <w:r w:rsidRPr="0008591A">
        <w:rPr>
          <w:color w:val="000000"/>
          <w:lang w:val="en-US"/>
        </w:rPr>
        <w:t xml:space="preserve">[43] C. Lv, L. Fan, H. Li, J. Ma, W. Jiang, and X. Ma, “Leveraging multimodal deep learning framework and a comprehensive audio-visual dataset to advance Parkinson’s detection,” </w:t>
      </w:r>
      <w:r w:rsidRPr="0008591A">
        <w:rPr>
          <w:i/>
          <w:iCs/>
          <w:color w:val="000000"/>
          <w:lang w:val="en-US"/>
        </w:rPr>
        <w:t>Biomed. Signal Process. Control</w:t>
      </w:r>
      <w:r w:rsidRPr="0008591A">
        <w:rPr>
          <w:color w:val="000000"/>
          <w:lang w:val="en-US"/>
        </w:rPr>
        <w:t>, vol. 95, Art. no. 106480, 2024, doi: 10.1016/j.bspc.2024.106480.</w:t>
      </w:r>
    </w:p>
    <w:p w14:paraId="255D19A3" w14:textId="77777777" w:rsidR="0008591A" w:rsidRPr="0008591A" w:rsidRDefault="0008591A" w:rsidP="0008591A">
      <w:pPr>
        <w:spacing w:before="160" w:after="80" w:line="276" w:lineRule="auto"/>
        <w:rPr>
          <w:color w:val="000000"/>
          <w:lang w:val="en-US"/>
        </w:rPr>
      </w:pPr>
      <w:r w:rsidRPr="0008591A">
        <w:rPr>
          <w:color w:val="000000"/>
          <w:lang w:val="en-US"/>
        </w:rPr>
        <w:t xml:space="preserve">[44] A. Alorf, “An optimized framework for Parkinson’s disease classification using multimodal neuroimaging data with ensemble-based and data fusion networks,” </w:t>
      </w:r>
      <w:r w:rsidRPr="0008591A">
        <w:rPr>
          <w:i/>
          <w:iCs/>
          <w:color w:val="000000"/>
          <w:lang w:val="en-US"/>
        </w:rPr>
        <w:t>Comput. Biol. Med.</w:t>
      </w:r>
      <w:r w:rsidRPr="0008591A">
        <w:rPr>
          <w:color w:val="000000"/>
          <w:lang w:val="en-US"/>
        </w:rPr>
        <w:t>, vol. 198, Art. no. 111126, 2025, doi: 10.1016/j.compbiomed.2025.111126.</w:t>
      </w:r>
    </w:p>
    <w:p w14:paraId="7FAD5A2D" w14:textId="77777777" w:rsidR="0008591A" w:rsidRPr="0008591A" w:rsidRDefault="0008591A" w:rsidP="0008591A">
      <w:pPr>
        <w:spacing w:before="160" w:after="80" w:line="276" w:lineRule="auto"/>
        <w:rPr>
          <w:color w:val="000000"/>
          <w:lang w:val="en-US"/>
        </w:rPr>
      </w:pPr>
      <w:r w:rsidRPr="0008591A">
        <w:rPr>
          <w:color w:val="000000"/>
          <w:lang w:val="en-US"/>
        </w:rPr>
        <w:t xml:space="preserve">[45] M. Sousani, R. F. Rojas, E. Preston, and M. Ghahramani, “Early-stage Parkinson’s disease detection using multimodal brain–body biomarkers from fNIRS and IMU data,” </w:t>
      </w:r>
      <w:r w:rsidRPr="0008591A">
        <w:rPr>
          <w:i/>
          <w:iCs/>
          <w:color w:val="000000"/>
          <w:lang w:val="en-US"/>
        </w:rPr>
        <w:t>Comput. Biol. Med.</w:t>
      </w:r>
      <w:r w:rsidRPr="0008591A">
        <w:rPr>
          <w:color w:val="000000"/>
          <w:lang w:val="en-US"/>
        </w:rPr>
        <w:t>, vol. 197, Art. no. 111096, 2025, doi: 10.1016/j.compbiomed.2025.111096.</w:t>
      </w:r>
    </w:p>
    <w:p w14:paraId="386979FE" w14:textId="77777777" w:rsidR="0008591A" w:rsidRPr="0008591A" w:rsidRDefault="0008591A" w:rsidP="0008591A">
      <w:pPr>
        <w:spacing w:before="160" w:after="80" w:line="276" w:lineRule="auto"/>
        <w:rPr>
          <w:color w:val="000000"/>
          <w:lang w:val="en-US"/>
        </w:rPr>
      </w:pPr>
      <w:r w:rsidRPr="0008591A">
        <w:rPr>
          <w:color w:val="000000"/>
          <w:lang w:val="en-US"/>
        </w:rPr>
        <w:lastRenderedPageBreak/>
        <w:t xml:space="preserve">[46] H. Park, C. Youm, S.-M. Cheon, B. Kim, H. Choi, J. Hwang, and M. Kim, “Using machine learning to identify Parkinson’s disease severity subtypes with multimodal data,” </w:t>
      </w:r>
      <w:r w:rsidRPr="0008591A">
        <w:rPr>
          <w:i/>
          <w:iCs/>
          <w:color w:val="000000"/>
          <w:lang w:val="en-US"/>
        </w:rPr>
        <w:t>J. Neuroeng. Rehabil.</w:t>
      </w:r>
      <w:r w:rsidRPr="0008591A">
        <w:rPr>
          <w:color w:val="000000"/>
          <w:lang w:val="en-US"/>
        </w:rPr>
        <w:t>, vol. 22, Art. no. 126, 2025, doi: 10.1186/s12984-025-01648-2.</w:t>
      </w:r>
    </w:p>
    <w:p w14:paraId="4179D2AD" w14:textId="77777777" w:rsidR="0008591A" w:rsidRPr="0008591A" w:rsidRDefault="0008591A" w:rsidP="0008591A">
      <w:pPr>
        <w:spacing w:before="160" w:after="80" w:line="276" w:lineRule="auto"/>
        <w:rPr>
          <w:color w:val="000000"/>
          <w:lang w:val="en-US"/>
        </w:rPr>
      </w:pPr>
      <w:r w:rsidRPr="0008591A">
        <w:rPr>
          <w:color w:val="000000"/>
          <w:lang w:val="en-US"/>
        </w:rPr>
        <w:t xml:space="preserve">[47] H. Song, H. Lei, Y. Lei, Z. Huang, J. Li, T. Wang, P. Yang, and B. Lei, “Multimodal joint subspace model for Parkinson’s disease diagnosis,” </w:t>
      </w:r>
      <w:r w:rsidRPr="0008591A">
        <w:rPr>
          <w:i/>
          <w:iCs/>
          <w:color w:val="000000"/>
          <w:lang w:val="en-US"/>
        </w:rPr>
        <w:t>Expert Syst. Appl.</w:t>
      </w:r>
      <w:r w:rsidRPr="0008591A">
        <w:rPr>
          <w:color w:val="000000"/>
          <w:lang w:val="en-US"/>
        </w:rPr>
        <w:t>, vol. 298, Art. no. 129556, 2026, doi: 10.1016/j.eswa.2025.129556.</w:t>
      </w:r>
    </w:p>
    <w:p w14:paraId="799402AC" w14:textId="77777777" w:rsidR="0008591A" w:rsidRPr="0008591A" w:rsidRDefault="0008591A" w:rsidP="0008591A">
      <w:pPr>
        <w:spacing w:before="160" w:after="80" w:line="276" w:lineRule="auto"/>
        <w:rPr>
          <w:color w:val="000000"/>
          <w:lang w:val="en-US"/>
        </w:rPr>
      </w:pPr>
      <w:r w:rsidRPr="0008591A">
        <w:rPr>
          <w:color w:val="000000"/>
          <w:lang w:val="en-US"/>
        </w:rPr>
        <w:t xml:space="preserve">[48] S. Priyadharshini, K. Ramkumar, S. Vairavasundaram, K. Narasimhan, S. Venkatesh, R. Amirtharajan, and K. Kotecha, “A comprehensive framework for Parkinson’s disease diagnosis using explainable artificial intelligence empowered machine learning techniques,” </w:t>
      </w:r>
      <w:r w:rsidRPr="0008591A">
        <w:rPr>
          <w:i/>
          <w:iCs/>
          <w:color w:val="000000"/>
          <w:lang w:val="en-US"/>
        </w:rPr>
        <w:t>Alexandria Eng. J.</w:t>
      </w:r>
      <w:r w:rsidRPr="0008591A">
        <w:rPr>
          <w:color w:val="000000"/>
          <w:lang w:val="en-US"/>
        </w:rPr>
        <w:t>, vol. 107, pp. 568–582, 2024, doi: 10.1016/j.aej.2024.07.106.</w:t>
      </w:r>
    </w:p>
    <w:p w14:paraId="3E3779CB" w14:textId="77777777" w:rsidR="0008591A" w:rsidRPr="0008591A" w:rsidRDefault="0008591A" w:rsidP="0008591A">
      <w:pPr>
        <w:spacing w:before="160" w:after="80" w:line="276" w:lineRule="auto"/>
        <w:rPr>
          <w:color w:val="000000"/>
          <w:lang w:val="en-US"/>
        </w:rPr>
      </w:pPr>
      <w:r w:rsidRPr="0008591A">
        <w:rPr>
          <w:color w:val="000000"/>
          <w:lang w:val="en-US"/>
        </w:rPr>
        <w:t xml:space="preserve">[49] A. Zhao, Y. Liu, X. Yu, X. Xing, and H. Zhou, “Artificial intelligence-enabled detection and assessment of Parkinson’s disease using multimodal data: A survey,” </w:t>
      </w:r>
      <w:r w:rsidRPr="0008591A">
        <w:rPr>
          <w:i/>
          <w:iCs/>
          <w:color w:val="000000"/>
          <w:lang w:val="en-US"/>
        </w:rPr>
        <w:t>Inf. Fusion</w:t>
      </w:r>
      <w:r w:rsidRPr="0008591A">
        <w:rPr>
          <w:color w:val="000000"/>
          <w:lang w:val="en-US"/>
        </w:rPr>
        <w:t>, vol. 121, Art. no. 103175, 2025, doi: 10.1016/j.inffus.2025.103175.</w:t>
      </w:r>
    </w:p>
    <w:p w14:paraId="71483D94" w14:textId="77777777" w:rsidR="0008591A" w:rsidRPr="0008591A" w:rsidRDefault="0008591A" w:rsidP="0008591A">
      <w:pPr>
        <w:spacing w:before="160" w:after="80" w:line="276" w:lineRule="auto"/>
        <w:rPr>
          <w:color w:val="000000"/>
          <w:lang w:val="en-US"/>
        </w:rPr>
      </w:pPr>
      <w:r w:rsidRPr="0008591A">
        <w:rPr>
          <w:color w:val="000000"/>
          <w:lang w:val="en-US"/>
        </w:rPr>
        <w:t xml:space="preserve">[50] G. Huang, R. Li, Q. Bai, and J. Alty, “Multimodal learning of clinically accessible tests to aid diagnosis of neurodegenerative disorders: A scoping review,” </w:t>
      </w:r>
      <w:r w:rsidRPr="0008591A">
        <w:rPr>
          <w:i/>
          <w:iCs/>
          <w:color w:val="000000"/>
          <w:lang w:val="en-US"/>
        </w:rPr>
        <w:t>Health Inf. Sci. Syst.</w:t>
      </w:r>
      <w:r w:rsidRPr="0008591A">
        <w:rPr>
          <w:color w:val="000000"/>
          <w:lang w:val="en-US"/>
        </w:rPr>
        <w:t>, vol. 11, Art. no. 32, 2023, doi: 10.1007/s13755-023-00231-0.</w:t>
      </w:r>
    </w:p>
    <w:p w14:paraId="0FF3EBB4" w14:textId="77777777" w:rsidR="00AE6271" w:rsidRDefault="00000000">
      <w:pPr>
        <w:spacing w:before="160" w:after="80" w:line="276" w:lineRule="auto"/>
      </w:pPr>
      <w:r>
        <w:rPr>
          <w:b/>
          <w:color w:val="000000"/>
        </w:rPr>
        <w:t>Book:</w:t>
      </w:r>
    </w:p>
    <w:p w14:paraId="1BA613BD" w14:textId="77777777" w:rsidR="00AE6271" w:rsidRDefault="00000000">
      <w:pPr>
        <w:spacing w:after="120" w:line="276" w:lineRule="auto"/>
        <w:ind w:left="576" w:hanging="576"/>
        <w:jc w:val="both"/>
      </w:pPr>
      <w:r>
        <w:rPr>
          <w:color w:val="000000"/>
        </w:rPr>
        <w:t>I. Goodfellow, Y. Bengio, and A. Courville, Deep Learning. Cambridge, MA, USA: MIT Press, 2016.</w:t>
      </w:r>
    </w:p>
    <w:p w14:paraId="4D4FE7BE" w14:textId="77777777" w:rsidR="00AE6271" w:rsidRDefault="00000000">
      <w:pPr>
        <w:spacing w:before="160" w:after="80" w:line="276" w:lineRule="auto"/>
      </w:pPr>
      <w:r>
        <w:rPr>
          <w:b/>
          <w:color w:val="000000"/>
        </w:rPr>
        <w:t>Weblinks:</w:t>
      </w:r>
    </w:p>
    <w:p w14:paraId="0D7A32B4" w14:textId="77777777" w:rsidR="00AE6271" w:rsidRDefault="00000000">
      <w:pPr>
        <w:spacing w:after="120" w:line="276" w:lineRule="auto"/>
        <w:ind w:left="576" w:hanging="576"/>
        <w:jc w:val="both"/>
      </w:pPr>
      <w:r>
        <w:rPr>
          <w:color w:val="000000"/>
        </w:rPr>
        <w:t>Parkinson's Progression Markers Initiative (PPMI). [Online]. Available: https://www.ppmi-info.org</w:t>
      </w:r>
    </w:p>
    <w:p w14:paraId="23F7CC3B" w14:textId="77777777" w:rsidR="00AE6271" w:rsidRDefault="00000000">
      <w:pPr>
        <w:spacing w:after="120" w:line="276" w:lineRule="auto"/>
        <w:ind w:left="576" w:hanging="576"/>
        <w:jc w:val="both"/>
      </w:pPr>
      <w:r>
        <w:rPr>
          <w:color w:val="000000"/>
        </w:rPr>
        <w:t>Image and Data Archive (IDA), Laboratory of Neuro Imaging, USC. [Online]. Available: https://ida.loni.usc.edu</w:t>
      </w:r>
    </w:p>
    <w:sectPr w:rsidR="00AE6271" w:rsidSect="0008591A">
      <w:footerReference w:type="default" r:id="rId22"/>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7255" w14:textId="77777777" w:rsidR="0013225B" w:rsidRDefault="0013225B">
      <w:r>
        <w:separator/>
      </w:r>
    </w:p>
  </w:endnote>
  <w:endnote w:type="continuationSeparator" w:id="0">
    <w:p w14:paraId="7E9537DB" w14:textId="77777777" w:rsidR="0013225B" w:rsidRDefault="00132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F0080CA-8F5F-4A52-8615-5640D02EDE9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EECC6AA2-C9CC-4662-A4A2-FF1368D2E9A7}"/>
  </w:font>
  <w:font w:name="Georgia">
    <w:panose1 w:val="02040502050405020303"/>
    <w:charset w:val="00"/>
    <w:family w:val="roman"/>
    <w:pitch w:val="variable"/>
    <w:sig w:usb0="00000287" w:usb1="00000000" w:usb2="00000000" w:usb3="00000000" w:csb0="0000009F" w:csb1="00000000"/>
    <w:embedItalic r:id="rId3" w:fontKey="{E3EFAE2B-E949-4B36-94F8-90AFD04113B2}"/>
  </w:font>
  <w:font w:name="Calibri Light">
    <w:panose1 w:val="020F0302020204030204"/>
    <w:charset w:val="00"/>
    <w:family w:val="swiss"/>
    <w:pitch w:val="variable"/>
    <w:sig w:usb0="E4002EFF" w:usb1="C200247B" w:usb2="00000009" w:usb3="00000000" w:csb0="000001FF" w:csb1="00000000"/>
    <w:embedRegular r:id="rId4" w:fontKey="{0B344095-8FAB-4F7A-B00A-732D32587125}"/>
  </w:font>
  <w:font w:name="Calibri">
    <w:panose1 w:val="020F0502020204030204"/>
    <w:charset w:val="00"/>
    <w:family w:val="swiss"/>
    <w:pitch w:val="variable"/>
    <w:sig w:usb0="E4002EFF" w:usb1="C200247B" w:usb2="00000009" w:usb3="00000000" w:csb0="000001FF" w:csb1="00000000"/>
    <w:embedRegular r:id="rId5" w:fontKey="{BF5EBA15-CA3E-4B04-B2B0-F7F153A908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17CB" w14:textId="3BA628BF" w:rsidR="0008591A" w:rsidRDefault="0008591A" w:rsidP="0008591A">
    <w:pPr>
      <w:pStyle w:val="Footer"/>
    </w:pPr>
  </w:p>
  <w:p w14:paraId="68875E38" w14:textId="77777777" w:rsidR="0008591A" w:rsidRDefault="000859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68091"/>
      <w:docPartObj>
        <w:docPartGallery w:val="Page Numbers (Bottom of Page)"/>
        <w:docPartUnique/>
      </w:docPartObj>
    </w:sdtPr>
    <w:sdtEndPr>
      <w:rPr>
        <w:noProof/>
      </w:rPr>
    </w:sdtEndPr>
    <w:sdtContent>
      <w:p w14:paraId="2335712E" w14:textId="77777777" w:rsidR="0008591A" w:rsidRDefault="000859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43C182" w14:textId="77777777" w:rsidR="0008591A" w:rsidRDefault="000859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759916"/>
      <w:docPartObj>
        <w:docPartGallery w:val="Page Numbers (Bottom of Page)"/>
        <w:docPartUnique/>
      </w:docPartObj>
    </w:sdtPr>
    <w:sdtEndPr>
      <w:rPr>
        <w:noProof/>
      </w:rPr>
    </w:sdtEndPr>
    <w:sdtContent>
      <w:p w14:paraId="037F0D67" w14:textId="77777777" w:rsidR="0008591A" w:rsidRDefault="000859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31E602" w14:textId="77777777" w:rsidR="0008591A" w:rsidRDefault="00085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AB464" w14:textId="77777777" w:rsidR="0013225B" w:rsidRDefault="0013225B">
      <w:r>
        <w:separator/>
      </w:r>
    </w:p>
  </w:footnote>
  <w:footnote w:type="continuationSeparator" w:id="0">
    <w:p w14:paraId="1FAC9688" w14:textId="77777777" w:rsidR="0013225B" w:rsidRDefault="00132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25024"/>
    <w:rsid w:val="0008591A"/>
    <w:rsid w:val="0013225B"/>
    <w:rsid w:val="001736BF"/>
    <w:rsid w:val="001C6F1D"/>
    <w:rsid w:val="004344AA"/>
    <w:rsid w:val="00450320"/>
    <w:rsid w:val="006D4A0B"/>
    <w:rsid w:val="007568C5"/>
    <w:rsid w:val="00760D04"/>
    <w:rsid w:val="008914D5"/>
    <w:rsid w:val="00AD7503"/>
    <w:rsid w:val="00AE6271"/>
    <w:rsid w:val="00C46E12"/>
    <w:rsid w:val="00D111AF"/>
    <w:rsid w:val="00DF5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8C55"/>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30</Pages>
  <Words>7984</Words>
  <Characters>45510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Saurav Gupta</cp:lastModifiedBy>
  <cp:revision>5</cp:revision>
  <cp:lastPrinted>2026-09-09T17:00:00Z</cp:lastPrinted>
  <dcterms:created xsi:type="dcterms:W3CDTF">2024-09-03T09:32:00Z</dcterms:created>
  <dcterms:modified xsi:type="dcterms:W3CDTF">2026-09-09T17:43:00Z</dcterms:modified>
</cp:coreProperties>
</file>