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18F" w:rsidRDefault="00AA6D01">
      <w:r>
        <w:t xml:space="preserve">SOME CLARITY TO </w:t>
      </w:r>
      <w:r w:rsidR="00B7318F">
        <w:t xml:space="preserve">MIXED </w:t>
      </w:r>
      <w:r>
        <w:t xml:space="preserve">MACRECONOMIC </w:t>
      </w:r>
      <w:r w:rsidR="00080DA6">
        <w:t>SIGNALS</w:t>
      </w:r>
    </w:p>
    <w:p w:rsidR="00080DA6" w:rsidRDefault="00080DA6">
      <w:r>
        <w:t>Timothy H. Savage, Ph.D. CRE</w:t>
      </w:r>
    </w:p>
    <w:p w:rsidR="00080DA6" w:rsidRDefault="00080DA6">
      <w:r>
        <w:t>NYU Schack Institute of Real Estate</w:t>
      </w:r>
    </w:p>
    <w:p w:rsidR="006D02A8" w:rsidRDefault="006D02A8">
      <w:r>
        <w:t>Chief Economist, Haystacks.AI</w:t>
      </w:r>
    </w:p>
    <w:p w:rsidR="00B7318F" w:rsidRDefault="00B7318F"/>
    <w:p w:rsidR="00080DA6" w:rsidRDefault="00080DA6"/>
    <w:p w:rsidR="00476F94" w:rsidRDefault="00080DA6">
      <w:r>
        <w:t>EXECUTIVE SUMMARY</w:t>
      </w:r>
    </w:p>
    <w:p w:rsidR="00476F94" w:rsidRDefault="00476F94">
      <w:r>
        <w:t>Having focused on its mandate for maximum employment, the Federal Reserve has strongly signaled that its focus is now inflation.  Combined with increase</w:t>
      </w:r>
      <w:r w:rsidR="009B26D9">
        <w:t>d</w:t>
      </w:r>
      <w:r>
        <w:t xml:space="preserve"> geopolitical risk</w:t>
      </w:r>
      <w:r w:rsidR="009B26D9">
        <w:t xml:space="preserve"> and vanishing fiscal stimulus</w:t>
      </w:r>
      <w:r>
        <w:t xml:space="preserve">, </w:t>
      </w:r>
      <w:r w:rsidR="009B26D9">
        <w:t xml:space="preserve">tightened monetary policy will </w:t>
      </w:r>
      <w:r>
        <w:t xml:space="preserve">place upward pressure on cap rates and market volatility.  </w:t>
      </w:r>
      <w:r w:rsidR="00080DA6">
        <w:t>Transaction volume</w:t>
      </w:r>
      <w:r w:rsidR="009B26D9">
        <w:t xml:space="preserve"> in real estate</w:t>
      </w:r>
      <w:r w:rsidR="00080DA6">
        <w:t xml:space="preserve"> will </w:t>
      </w:r>
      <w:r w:rsidR="009B26D9">
        <w:t xml:space="preserve">likely </w:t>
      </w:r>
      <w:r w:rsidR="00080DA6">
        <w:t xml:space="preserve">remain </w:t>
      </w:r>
      <w:r w:rsidR="009B26D9">
        <w:t>vibrant</w:t>
      </w:r>
      <w:r w:rsidR="00080DA6">
        <w:t xml:space="preserve">.  </w:t>
      </w:r>
      <w:r>
        <w:t>Given signals from liquid bond markets, an economic recession is unlikely</w:t>
      </w:r>
      <w:r w:rsidR="00080DA6">
        <w:t xml:space="preserve"> in the near term</w:t>
      </w:r>
      <w:r>
        <w:t xml:space="preserve">.  The proximate threats to economic growth remain the enduring pandemic </w:t>
      </w:r>
      <w:r w:rsidR="00080DA6">
        <w:t xml:space="preserve">and </w:t>
      </w:r>
      <w:r w:rsidR="00705749">
        <w:t xml:space="preserve">potential </w:t>
      </w:r>
      <w:bookmarkStart w:id="0" w:name="_GoBack"/>
      <w:bookmarkEnd w:id="0"/>
      <w:r w:rsidR="00080DA6">
        <w:t>policy errors.</w:t>
      </w:r>
      <w:r>
        <w:t xml:space="preserve"> </w:t>
      </w:r>
    </w:p>
    <w:p w:rsidR="00476F94" w:rsidRDefault="00476F94"/>
    <w:p w:rsidR="00080DA6" w:rsidRDefault="00080DA6"/>
    <w:p w:rsidR="00080DA6" w:rsidRDefault="00080DA6">
      <w:r>
        <w:t>THE PANDEMIC</w:t>
      </w:r>
      <w:r w:rsidR="00FE4C0F">
        <w:t>’S ECONOMIC IMPACT</w:t>
      </w:r>
    </w:p>
    <w:p w:rsidR="00E20179" w:rsidRDefault="0044451C">
      <w:r>
        <w:t xml:space="preserve">As a natural disaster, </w:t>
      </w:r>
      <w:r w:rsidR="002A4255">
        <w:t>Covid-19</w:t>
      </w:r>
      <w:r>
        <w:t xml:space="preserve"> created a</w:t>
      </w:r>
      <w:r w:rsidR="00AA6D4F">
        <w:t>n</w:t>
      </w:r>
      <w:r>
        <w:t xml:space="preserve"> unprecedented macroeconomic landscape.  </w:t>
      </w:r>
      <w:r w:rsidR="001F7BFE">
        <w:t xml:space="preserve">Initially, it was a </w:t>
      </w:r>
      <w:r w:rsidR="00682D47">
        <w:t xml:space="preserve">demand </w:t>
      </w:r>
      <w:r w:rsidR="00D61F95">
        <w:t>shock</w:t>
      </w:r>
      <w:r>
        <w:t>,</w:t>
      </w:r>
      <w:r w:rsidR="00D61F95">
        <w:t xml:space="preserve"> </w:t>
      </w:r>
      <w:r w:rsidR="001F7BFE">
        <w:t xml:space="preserve">and </w:t>
      </w:r>
      <w:r w:rsidR="002464E5">
        <w:t>its</w:t>
      </w:r>
      <w:r w:rsidR="00E20179">
        <w:t xml:space="preserve"> </w:t>
      </w:r>
      <w:r w:rsidR="00AA6D4F">
        <w:t xml:space="preserve">adverse </w:t>
      </w:r>
      <w:r w:rsidR="00E20179">
        <w:t xml:space="preserve">impact on labor markets </w:t>
      </w:r>
      <w:r w:rsidR="00682D47">
        <w:t xml:space="preserve">and economic growth </w:t>
      </w:r>
      <w:r w:rsidR="00E20179">
        <w:t>was</w:t>
      </w:r>
      <w:r w:rsidR="001F7BFE">
        <w:t xml:space="preserve"> unprecedented</w:t>
      </w:r>
      <w:r w:rsidR="00E20179">
        <w:t>.  First-time claims for unemployment insurance</w:t>
      </w:r>
      <w:r w:rsidR="00682D47">
        <w:t xml:space="preserve"> (UI)</w:t>
      </w:r>
      <w:r w:rsidR="00E20179">
        <w:t xml:space="preserve"> skyrocketed</w:t>
      </w:r>
      <w:r w:rsidR="00B00780">
        <w:t xml:space="preserve">, and between early March and early June 2020, </w:t>
      </w:r>
      <w:r w:rsidR="00AE45AF">
        <w:t>over</w:t>
      </w:r>
      <w:r w:rsidR="00B00780">
        <w:t xml:space="preserve"> 40 million Americans filed first-time claims</w:t>
      </w:r>
      <w:r w:rsidR="00682D47">
        <w:t xml:space="preserve"> </w:t>
      </w:r>
      <w:r w:rsidR="00E20179">
        <w:t>[</w:t>
      </w:r>
      <w:r w:rsidR="001F7BFE">
        <w:t>Weekly UI Claims</w:t>
      </w:r>
      <w:r w:rsidR="00E20179">
        <w:t>]</w:t>
      </w:r>
      <w:r w:rsidR="00682D47">
        <w:t>.</w:t>
      </w:r>
      <w:r w:rsidR="00EB651F">
        <w:rPr>
          <w:rStyle w:val="FootnoteReference"/>
        </w:rPr>
        <w:footnoteReference w:id="1"/>
      </w:r>
      <w:r w:rsidR="00E20179">
        <w:t xml:space="preserve">  </w:t>
      </w:r>
      <w:r w:rsidR="00682D47">
        <w:t>The unemployment rate quadrupled between March and May 2020 [</w:t>
      </w:r>
      <w:r w:rsidR="001F7BFE">
        <w:t>U-3 Unemployment Rate</w:t>
      </w:r>
      <w:r w:rsidR="00682D47">
        <w:t xml:space="preserve">].  By </w:t>
      </w:r>
      <w:r w:rsidR="005931D1">
        <w:t xml:space="preserve">the end of </w:t>
      </w:r>
      <w:r w:rsidR="00682D47">
        <w:t xml:space="preserve">Q2 2020, </w:t>
      </w:r>
      <w:r w:rsidR="001F7BFE">
        <w:t>real output</w:t>
      </w:r>
      <w:r w:rsidR="00682D47">
        <w:t xml:space="preserve"> was contracting by nearly 10%</w:t>
      </w:r>
      <w:r w:rsidR="00A3286F">
        <w:t>, and the advanced estimate for Q1 2022 showed a contracti</w:t>
      </w:r>
      <w:r w:rsidR="00680887">
        <w:t>on</w:t>
      </w:r>
      <w:r w:rsidR="00A3286F">
        <w:t xml:space="preserve"> based on inventory reduction</w:t>
      </w:r>
      <w:r w:rsidR="001F7BFE">
        <w:t xml:space="preserve"> [Real GDP Growth].</w:t>
      </w:r>
      <w:r w:rsidR="001F7BFE">
        <w:rPr>
          <w:rStyle w:val="FootnoteReference"/>
        </w:rPr>
        <w:footnoteReference w:id="2"/>
      </w:r>
      <w:r w:rsidR="00B77430">
        <w:t xml:space="preserve">  </w:t>
      </w:r>
      <w:r w:rsidR="001F7BFE">
        <w:t>Market volatility exploded to levels not seen since the global financial crisis and remain</w:t>
      </w:r>
      <w:r w:rsidR="009B26D9">
        <w:t>s</w:t>
      </w:r>
      <w:r w:rsidR="001F7BFE">
        <w:t xml:space="preserve"> elevated to this day </w:t>
      </w:r>
      <w:r w:rsidR="00493591">
        <w:t>[</w:t>
      </w:r>
      <w:r w:rsidR="001F7BFE">
        <w:t>VIX</w:t>
      </w:r>
      <w:r w:rsidR="00493591">
        <w:t xml:space="preserve">].  </w:t>
      </w:r>
    </w:p>
    <w:p w:rsidR="00E20179" w:rsidRDefault="00E20179"/>
    <w:p w:rsidR="002971D0" w:rsidRDefault="002971D0">
      <w:r>
        <w:t>THE FEDERAL RESPONSE</w:t>
      </w:r>
    </w:p>
    <w:p w:rsidR="00EA02AF" w:rsidRDefault="00585B07">
      <w:r>
        <w:t>T</w:t>
      </w:r>
      <w:r w:rsidR="006030E6">
        <w:t xml:space="preserve">he magnitude of </w:t>
      </w:r>
      <w:r w:rsidR="009B26D9">
        <w:t xml:space="preserve">the </w:t>
      </w:r>
      <w:r w:rsidR="00B00780">
        <w:t>economic crisis</w:t>
      </w:r>
      <w:r>
        <w:t xml:space="preserve"> </w:t>
      </w:r>
      <w:r w:rsidR="009B26D9">
        <w:t xml:space="preserve">drove a </w:t>
      </w:r>
      <w:r w:rsidR="00E20179">
        <w:t xml:space="preserve">substantial </w:t>
      </w:r>
      <w:r>
        <w:t>policy response</w:t>
      </w:r>
      <w:r w:rsidR="006030E6">
        <w:t xml:space="preserve">.  </w:t>
      </w:r>
      <w:r w:rsidR="00CD4847">
        <w:t>F</w:t>
      </w:r>
      <w:r w:rsidR="0044451C">
        <w:t xml:space="preserve">iscal </w:t>
      </w:r>
      <w:r w:rsidR="00CD4847">
        <w:t>policy</w:t>
      </w:r>
      <w:r w:rsidR="000763A2">
        <w:t xml:space="preserve"> </w:t>
      </w:r>
      <w:r w:rsidR="00AA6D4F">
        <w:t>includ</w:t>
      </w:r>
      <w:r w:rsidR="002D62C5">
        <w:t>ed</w:t>
      </w:r>
      <w:r w:rsidR="00AA6D4F">
        <w:t xml:space="preserve"> </w:t>
      </w:r>
      <w:r w:rsidR="000763A2">
        <w:t xml:space="preserve">extended </w:t>
      </w:r>
      <w:r w:rsidR="00AA6D4F">
        <w:t>UI</w:t>
      </w:r>
      <w:r w:rsidR="006030E6">
        <w:t xml:space="preserve"> </w:t>
      </w:r>
      <w:r w:rsidR="000763A2">
        <w:t xml:space="preserve">payments, the </w:t>
      </w:r>
      <w:r w:rsidR="00CD4847">
        <w:t xml:space="preserve">2020 </w:t>
      </w:r>
      <w:r w:rsidR="000763A2">
        <w:t>Paycheck Protection Plan</w:t>
      </w:r>
      <w:r w:rsidR="00AA6D4F">
        <w:t>,</w:t>
      </w:r>
      <w:r w:rsidR="000763A2">
        <w:t xml:space="preserve"> and the </w:t>
      </w:r>
      <w:r w:rsidR="00CD4847">
        <w:t xml:space="preserve">2021 </w:t>
      </w:r>
      <w:r w:rsidR="000763A2">
        <w:t>American Rescue Plan</w:t>
      </w:r>
      <w:r w:rsidR="004B31F1">
        <w:t xml:space="preserve">.  Focusing on </w:t>
      </w:r>
      <w:r w:rsidR="000763A2">
        <w:t xml:space="preserve">direct cash infusions </w:t>
      </w:r>
      <w:r w:rsidR="00CD4847">
        <w:t>to support consumption</w:t>
      </w:r>
      <w:r w:rsidR="004B31F1">
        <w:t xml:space="preserve">, </w:t>
      </w:r>
      <w:r w:rsidR="00CD4847">
        <w:t xml:space="preserve">this </w:t>
      </w:r>
      <w:r w:rsidR="004B31F1">
        <w:t xml:space="preserve">response </w:t>
      </w:r>
      <w:r w:rsidR="00AA6D4F">
        <w:t xml:space="preserve">amounted to </w:t>
      </w:r>
      <w:r w:rsidR="009D6B98">
        <w:t>a quarter of</w:t>
      </w:r>
      <w:r w:rsidR="00CD4847">
        <w:t xml:space="preserve"> annual</w:t>
      </w:r>
      <w:r w:rsidR="009D6B98">
        <w:t xml:space="preserve"> U.S. GDP</w:t>
      </w:r>
      <w:r w:rsidR="00AA6D4F">
        <w:t>.</w:t>
      </w:r>
      <w:r w:rsidR="000763A2">
        <w:rPr>
          <w:rStyle w:val="FootnoteReference"/>
        </w:rPr>
        <w:footnoteReference w:id="3"/>
      </w:r>
      <w:r w:rsidR="009D6B98">
        <w:t xml:space="preserve">  </w:t>
      </w:r>
      <w:r w:rsidR="00FE4C0F">
        <w:t>T</w:t>
      </w:r>
      <w:r w:rsidR="0044451C">
        <w:t xml:space="preserve">he Federal Reserve lowered </w:t>
      </w:r>
      <w:r w:rsidR="00D61F95">
        <w:t xml:space="preserve">its </w:t>
      </w:r>
      <w:r w:rsidR="0044451C">
        <w:t>overnight lend</w:t>
      </w:r>
      <w:r w:rsidR="00D61F95">
        <w:t xml:space="preserve">ing </w:t>
      </w:r>
      <w:r w:rsidR="0044451C">
        <w:t>rate</w:t>
      </w:r>
      <w:r w:rsidR="00FE4C0F">
        <w:t xml:space="preserve"> </w:t>
      </w:r>
      <w:r w:rsidR="0044451C">
        <w:t>to zero</w:t>
      </w:r>
      <w:r w:rsidR="00CD4847">
        <w:t xml:space="preserve"> and more than doubled its </w:t>
      </w:r>
      <w:r w:rsidR="0044451C">
        <w:t xml:space="preserve">balance sheet </w:t>
      </w:r>
      <w:r w:rsidR="00CD4847">
        <w:t xml:space="preserve">with asset purchases </w:t>
      </w:r>
      <w:r w:rsidR="00B00780">
        <w:t>[</w:t>
      </w:r>
      <w:r w:rsidR="00FE4C0F">
        <w:t>Federal Reserve Balance Sheet</w:t>
      </w:r>
      <w:r w:rsidR="00B00780">
        <w:t>]</w:t>
      </w:r>
      <w:r w:rsidR="0044451C">
        <w:t>.</w:t>
      </w:r>
      <w:r w:rsidR="000F1578">
        <w:rPr>
          <w:rStyle w:val="FootnoteReference"/>
        </w:rPr>
        <w:footnoteReference w:id="4"/>
      </w:r>
      <w:r w:rsidR="0044451C">
        <w:t xml:space="preserve">  </w:t>
      </w:r>
      <w:r w:rsidR="00B7318F">
        <w:t>T</w:t>
      </w:r>
      <w:r w:rsidR="0044451C">
        <w:t>he 10-year U.S. Treasury fe</w:t>
      </w:r>
      <w:r w:rsidR="00B3000C">
        <w:t>l</w:t>
      </w:r>
      <w:r w:rsidR="0044451C">
        <w:t>l to an historic low of 54 basis points (bps) in March 2020</w:t>
      </w:r>
      <w:r w:rsidR="00B7318F">
        <w:t>, and t</w:t>
      </w:r>
      <w:r w:rsidR="00B3000C">
        <w:t>he average 30-year fixed residential mortgage</w:t>
      </w:r>
      <w:r w:rsidR="004B31F1">
        <w:t xml:space="preserve"> </w:t>
      </w:r>
      <w:r w:rsidR="00B3000C">
        <w:t>fell to approximately 270 bps</w:t>
      </w:r>
      <w:r w:rsidR="00BB32F6">
        <w:t xml:space="preserve"> </w:t>
      </w:r>
      <w:r w:rsidR="00B00780">
        <w:t>[</w:t>
      </w:r>
      <w:r w:rsidR="00FE4C0F">
        <w:t>Key Interest Rates</w:t>
      </w:r>
      <w:r w:rsidR="00B00780">
        <w:t>]</w:t>
      </w:r>
      <w:r w:rsidR="00BB32F6">
        <w:t>.</w:t>
      </w:r>
      <w:r w:rsidR="0076275A">
        <w:rPr>
          <w:rStyle w:val="FootnoteReference"/>
        </w:rPr>
        <w:footnoteReference w:id="5"/>
      </w:r>
    </w:p>
    <w:p w:rsidR="00EA02AF" w:rsidRDefault="00EA02AF"/>
    <w:p w:rsidR="00FE4C0F" w:rsidRDefault="00FE4C0F">
      <w:r>
        <w:t xml:space="preserve">BUYING </w:t>
      </w:r>
      <w:r w:rsidR="00B913C2">
        <w:t>FURNITURE</w:t>
      </w:r>
      <w:r>
        <w:t xml:space="preserve"> DRIVE</w:t>
      </w:r>
      <w:r w:rsidR="00B913C2">
        <w:t>S</w:t>
      </w:r>
      <w:r>
        <w:t xml:space="preserve"> INFLATION</w:t>
      </w:r>
    </w:p>
    <w:p w:rsidR="00232ABF" w:rsidRPr="00AE45AF" w:rsidRDefault="00F569DD">
      <w:pPr>
        <w:rPr>
          <w:rFonts w:ascii="Times New Roman" w:eastAsia="Times New Roman" w:hAnsi="Times New Roman" w:cs="Times New Roman"/>
        </w:rPr>
      </w:pPr>
      <w:r>
        <w:t xml:space="preserve">Given </w:t>
      </w:r>
      <w:r w:rsidR="00F16CE4">
        <w:t xml:space="preserve">the complexities of </w:t>
      </w:r>
      <w:r w:rsidR="00C52392">
        <w:t xml:space="preserve">modern </w:t>
      </w:r>
      <w:r>
        <w:t xml:space="preserve">supply chains, the pandemic </w:t>
      </w:r>
      <w:r w:rsidR="00B7318F">
        <w:t xml:space="preserve">was </w:t>
      </w:r>
      <w:r>
        <w:t>a</w:t>
      </w:r>
      <w:r w:rsidR="00B7318F">
        <w:t>lso a</w:t>
      </w:r>
      <w:r>
        <w:t xml:space="preserve"> supply shock</w:t>
      </w:r>
      <w:r w:rsidR="002D62C5">
        <w:t xml:space="preserve"> with </w:t>
      </w:r>
      <w:r w:rsidR="00B7318F">
        <w:t>a substantial impact</w:t>
      </w:r>
      <w:r w:rsidR="0094611D">
        <w:t xml:space="preserve"> on</w:t>
      </w:r>
      <w:r w:rsidR="002D62C5">
        <w:t xml:space="preserve"> </w:t>
      </w:r>
      <w:r w:rsidR="0094611D">
        <w:t>inflation</w:t>
      </w:r>
      <w:r>
        <w:t>.</w:t>
      </w:r>
      <w:r w:rsidR="0094611D">
        <w:t xml:space="preserve">  </w:t>
      </w:r>
      <w:r w:rsidR="002D62C5">
        <w:t xml:space="preserve">Supported by </w:t>
      </w:r>
      <w:r w:rsidR="00B7318F">
        <w:t>federal</w:t>
      </w:r>
      <w:r w:rsidR="002D62C5">
        <w:t xml:space="preserve"> policy, </w:t>
      </w:r>
      <w:r w:rsidR="00814C3C">
        <w:t xml:space="preserve">overall </w:t>
      </w:r>
      <w:r w:rsidR="002D62C5">
        <w:t>consumption recovered</w:t>
      </w:r>
      <w:r w:rsidR="00B7318F">
        <w:t xml:space="preserve"> rapidly</w:t>
      </w:r>
      <w:r w:rsidR="002D62C5">
        <w:t xml:space="preserve"> but was distorted</w:t>
      </w:r>
      <w:r w:rsidR="00FE4C0F">
        <w:t xml:space="preserve"> relative to pre-pandemic levels</w:t>
      </w:r>
      <w:r w:rsidR="002D62C5">
        <w:t>.</w:t>
      </w:r>
      <w:r w:rsidR="0094611D">
        <w:t xml:space="preserve"> </w:t>
      </w:r>
      <w:r w:rsidR="00C77E9F">
        <w:t xml:space="preserve"> </w:t>
      </w:r>
      <w:r w:rsidR="00FE4C0F">
        <w:t xml:space="preserve">Basically, consumers substituted dining out </w:t>
      </w:r>
      <w:r w:rsidR="00CD4847">
        <w:t xml:space="preserve">(non-durables consumption) </w:t>
      </w:r>
      <w:r w:rsidR="00FE4C0F">
        <w:t xml:space="preserve">with buying </w:t>
      </w:r>
      <w:r w:rsidR="001072C9">
        <w:t xml:space="preserve">furniture </w:t>
      </w:r>
      <w:r w:rsidR="00CD4847">
        <w:t>(durables consumption)</w:t>
      </w:r>
      <w:r w:rsidR="00FE4C0F">
        <w:t xml:space="preserve">.  </w:t>
      </w:r>
      <w:r w:rsidR="0094611D">
        <w:t xml:space="preserve">By April 2021, </w:t>
      </w:r>
      <w:r w:rsidR="008A2B62">
        <w:t>durable</w:t>
      </w:r>
      <w:r w:rsidR="00CD4847">
        <w:t>s</w:t>
      </w:r>
      <w:r w:rsidR="008A2B62">
        <w:t xml:space="preserve"> </w:t>
      </w:r>
      <w:r w:rsidR="0094611D">
        <w:t>was nearly 40% higher than its pre-pandemic level</w:t>
      </w:r>
      <w:r w:rsidR="008A2B62">
        <w:t xml:space="preserve">, while </w:t>
      </w:r>
      <w:r w:rsidR="00C77E9F">
        <w:t>non-durable</w:t>
      </w:r>
      <w:r w:rsidR="00CD4847">
        <w:t>s</w:t>
      </w:r>
      <w:r w:rsidR="00C77E9F">
        <w:t xml:space="preserve"> was only 14% higher</w:t>
      </w:r>
      <w:r w:rsidR="00F04F05">
        <w:t xml:space="preserve"> [</w:t>
      </w:r>
      <w:r w:rsidR="00FE4C0F">
        <w:t>Changes in Consumption Patterns</w:t>
      </w:r>
      <w:r w:rsidR="00F04F05">
        <w:t>]</w:t>
      </w:r>
      <w:r w:rsidR="00232ABF">
        <w:t xml:space="preserve">.  </w:t>
      </w:r>
      <w:r w:rsidR="00B7318F">
        <w:t>S</w:t>
      </w:r>
      <w:r w:rsidR="00FB5B62">
        <w:t xml:space="preserve">hipping costs </w:t>
      </w:r>
      <w:r w:rsidR="00713712">
        <w:t xml:space="preserve">associated with durables </w:t>
      </w:r>
      <w:r w:rsidR="00FB5B62">
        <w:t xml:space="preserve">increased substantially </w:t>
      </w:r>
      <w:r w:rsidR="00B913C2">
        <w:t xml:space="preserve">and remain elevated </w:t>
      </w:r>
      <w:r w:rsidR="00FB5B62">
        <w:t>[</w:t>
      </w:r>
      <w:r w:rsidR="00B913C2">
        <w:t>Shipping Cost PPI Index</w:t>
      </w:r>
      <w:r w:rsidR="00FB5B62">
        <w:rPr>
          <w:rFonts w:ascii="Times New Roman" w:eastAsia="Times New Roman" w:hAnsi="Times New Roman" w:cs="Times New Roman"/>
        </w:rPr>
        <w:t>]</w:t>
      </w:r>
      <w:r w:rsidR="008A2B62">
        <w:rPr>
          <w:rFonts w:ascii="Times New Roman" w:eastAsia="Times New Roman" w:hAnsi="Times New Roman" w:cs="Times New Roman"/>
        </w:rPr>
        <w:t>.</w:t>
      </w:r>
      <w:r w:rsidR="00AE45AF">
        <w:rPr>
          <w:rFonts w:ascii="Times New Roman" w:eastAsia="Times New Roman" w:hAnsi="Times New Roman" w:cs="Times New Roman"/>
        </w:rPr>
        <w:t xml:space="preserve">  </w:t>
      </w:r>
      <w:r w:rsidR="006A5A38">
        <w:t>T</w:t>
      </w:r>
      <w:r w:rsidR="00E73FBA">
        <w:t xml:space="preserve">hese </w:t>
      </w:r>
      <w:r w:rsidR="006A5A38">
        <w:t xml:space="preserve">pandemic </w:t>
      </w:r>
      <w:r w:rsidR="00E73FBA">
        <w:t>supply shocks</w:t>
      </w:r>
      <w:r w:rsidR="0011176C">
        <w:t xml:space="preserve"> </w:t>
      </w:r>
      <w:r w:rsidR="00D02147">
        <w:t>have driven inflation well above the Fed’s stated policy of two</w:t>
      </w:r>
      <w:r w:rsidR="0011176C">
        <w:t xml:space="preserve"> </w:t>
      </w:r>
      <w:r w:rsidR="00D02147">
        <w:t xml:space="preserve">percent.  </w:t>
      </w:r>
      <w:r w:rsidR="0011176C">
        <w:t>By</w:t>
      </w:r>
      <w:r w:rsidR="00D02147">
        <w:t xml:space="preserve"> one </w:t>
      </w:r>
      <w:r w:rsidR="00CD4847">
        <w:t xml:space="preserve">standard </w:t>
      </w:r>
      <w:r w:rsidR="00D02147">
        <w:t>measure</w:t>
      </w:r>
      <w:r w:rsidR="0011176C">
        <w:t xml:space="preserve">, </w:t>
      </w:r>
      <w:r w:rsidR="00D02147">
        <w:t xml:space="preserve">inflation </w:t>
      </w:r>
      <w:r w:rsidR="00432921">
        <w:t xml:space="preserve">is at levels not seen since the </w:t>
      </w:r>
      <w:r w:rsidR="0011176C">
        <w:t>early</w:t>
      </w:r>
      <w:r w:rsidR="00D02147">
        <w:t xml:space="preserve"> 199</w:t>
      </w:r>
      <w:r w:rsidR="00432921">
        <w:t>0’s</w:t>
      </w:r>
      <w:r w:rsidR="0011176C">
        <w:t xml:space="preserve"> [</w:t>
      </w:r>
      <w:r w:rsidR="00B913C2">
        <w:t>Trimmed Mean Inflation</w:t>
      </w:r>
      <w:r w:rsidR="0011176C">
        <w:t>]</w:t>
      </w:r>
      <w:r w:rsidR="00D02147">
        <w:t xml:space="preserve">.  </w:t>
      </w:r>
      <w:r w:rsidR="00B7318F">
        <w:t>T</w:t>
      </w:r>
      <w:r w:rsidR="0011176C">
        <w:t>he ten-year break-even inflation rate</w:t>
      </w:r>
      <w:r w:rsidR="00432921">
        <w:t xml:space="preserve">, </w:t>
      </w:r>
      <w:r w:rsidR="00FE1973">
        <w:t xml:space="preserve">an index </w:t>
      </w:r>
      <w:r w:rsidR="00432921">
        <w:t xml:space="preserve">based on tradeable </w:t>
      </w:r>
      <w:r w:rsidR="000649B7">
        <w:t xml:space="preserve">and liquid </w:t>
      </w:r>
      <w:r w:rsidR="00432921">
        <w:t xml:space="preserve">markets, </w:t>
      </w:r>
      <w:r w:rsidR="00CD4847">
        <w:t>remains above 200 bps</w:t>
      </w:r>
      <w:r w:rsidR="00696312">
        <w:t xml:space="preserve"> </w:t>
      </w:r>
      <w:r w:rsidR="00432921">
        <w:t>[</w:t>
      </w:r>
      <w:r w:rsidR="00A62FF8">
        <w:t>10-Year Break-even</w:t>
      </w:r>
      <w:r w:rsidR="00432921">
        <w:t>].</w:t>
      </w:r>
    </w:p>
    <w:p w:rsidR="00232ABF" w:rsidRDefault="00232ABF"/>
    <w:p w:rsidR="00A4613E" w:rsidRDefault="00A4613E">
      <w:r>
        <w:t xml:space="preserve">THE FED’S PIVOT AND MIXED </w:t>
      </w:r>
      <w:r w:rsidR="00CD4847">
        <w:t xml:space="preserve">MACROECONOMIC </w:t>
      </w:r>
      <w:r>
        <w:t>SIGNALS</w:t>
      </w:r>
    </w:p>
    <w:p w:rsidR="001072C9" w:rsidRDefault="00A3286F">
      <w:r>
        <w:t>With t</w:t>
      </w:r>
      <w:r w:rsidR="009C2476">
        <w:t>he Fed</w:t>
      </w:r>
      <w:r w:rsidR="00B7318F">
        <w:t>’s</w:t>
      </w:r>
      <w:r w:rsidR="009C2476">
        <w:t xml:space="preserve"> dual mandate </w:t>
      </w:r>
      <w:r w:rsidR="008D7E4D">
        <w:t xml:space="preserve">of </w:t>
      </w:r>
      <w:r w:rsidR="009C2476">
        <w:t>maximal employment and price stability</w:t>
      </w:r>
      <w:r>
        <w:t>, i</w:t>
      </w:r>
      <w:r w:rsidR="00B7318F">
        <w:t>ts initial focus was</w:t>
      </w:r>
      <w:r w:rsidR="00132265">
        <w:t xml:space="preserve"> </w:t>
      </w:r>
      <w:r w:rsidR="00B7318F">
        <w:t xml:space="preserve">labor markets, which </w:t>
      </w:r>
      <w:r w:rsidR="009C2476">
        <w:t xml:space="preserve">have </w:t>
      </w:r>
      <w:r w:rsidR="008D7E4D">
        <w:t xml:space="preserve">largely </w:t>
      </w:r>
      <w:r w:rsidR="009C2476">
        <w:t xml:space="preserve">recovered.  </w:t>
      </w:r>
      <w:r>
        <w:t>I</w:t>
      </w:r>
      <w:r w:rsidR="00B7318F">
        <w:t xml:space="preserve">t has </w:t>
      </w:r>
      <w:r>
        <w:t xml:space="preserve">now </w:t>
      </w:r>
      <w:r w:rsidR="009C2476">
        <w:t>turn</w:t>
      </w:r>
      <w:r w:rsidR="009025B2">
        <w:t>ed</w:t>
      </w:r>
      <w:r w:rsidR="009C2476">
        <w:t xml:space="preserve"> </w:t>
      </w:r>
      <w:r w:rsidR="009025B2">
        <w:t>to</w:t>
      </w:r>
      <w:r w:rsidR="009C2476">
        <w:t xml:space="preserve"> price stability</w:t>
      </w:r>
      <w:r w:rsidR="00EC46D9">
        <w:t>,</w:t>
      </w:r>
      <w:r w:rsidR="009C2476">
        <w:t xml:space="preserve"> signal</w:t>
      </w:r>
      <w:r w:rsidR="00EC46D9">
        <w:t>ing</w:t>
      </w:r>
      <w:r w:rsidR="009C2476">
        <w:t xml:space="preserve"> </w:t>
      </w:r>
      <w:r w:rsidR="00A77B9E">
        <w:t xml:space="preserve">substantial rate </w:t>
      </w:r>
      <w:r w:rsidR="008D7E4D">
        <w:t xml:space="preserve">increases </w:t>
      </w:r>
      <w:r w:rsidR="00B7318F">
        <w:t xml:space="preserve">in the medium term, including </w:t>
      </w:r>
      <w:r>
        <w:t>the recent</w:t>
      </w:r>
      <w:r w:rsidR="00B7318F">
        <w:t xml:space="preserve"> 50-bps increase in the FFR</w:t>
      </w:r>
      <w:r w:rsidR="0013135F">
        <w:t xml:space="preserve">.  </w:t>
      </w:r>
      <w:r w:rsidR="008D7E4D">
        <w:t xml:space="preserve">It </w:t>
      </w:r>
      <w:r w:rsidR="009C2476">
        <w:t xml:space="preserve">has </w:t>
      </w:r>
      <w:r w:rsidR="00633B5A">
        <w:t xml:space="preserve">also </w:t>
      </w:r>
      <w:r>
        <w:t xml:space="preserve">announced a “run-off” in its balance sheet.  </w:t>
      </w:r>
      <w:r w:rsidR="00A77B9E">
        <w:t xml:space="preserve">Both of these policies will put upward pressure on </w:t>
      </w:r>
      <w:r>
        <w:t xml:space="preserve">long-duration </w:t>
      </w:r>
      <w:proofErr w:type="spellStart"/>
      <w:r w:rsidR="00696312">
        <w:t>Treasury</w:t>
      </w:r>
      <w:r>
        <w:t>s</w:t>
      </w:r>
      <w:proofErr w:type="spellEnd"/>
      <w:r>
        <w:t>,</w:t>
      </w:r>
      <w:r w:rsidR="00696312">
        <w:t xml:space="preserve"> </w:t>
      </w:r>
      <w:r w:rsidR="00A77B9E">
        <w:t>as well as cap rates</w:t>
      </w:r>
      <w:r w:rsidR="00A85ECC">
        <w:t xml:space="preserve">, </w:t>
      </w:r>
      <w:r w:rsidR="00696312">
        <w:t xml:space="preserve">unless </w:t>
      </w:r>
      <w:r w:rsidR="00A85ECC">
        <w:t xml:space="preserve">there is an offsetting increase in </w:t>
      </w:r>
      <w:r w:rsidR="009C2476">
        <w:t>demand</w:t>
      </w:r>
      <w:r w:rsidR="00DD176D">
        <w:t xml:space="preserve"> for CRE</w:t>
      </w:r>
      <w:r w:rsidR="009C2476">
        <w:t>.</w:t>
      </w:r>
      <w:r w:rsidR="00A85ECC">
        <w:t xml:space="preserve">  </w:t>
      </w:r>
      <w:r w:rsidR="00CD4847">
        <w:t>As of this writing, macroeconomic signals are mixed</w:t>
      </w:r>
      <w:r w:rsidR="004E2A12">
        <w:t>, but one measure provides clarity</w:t>
      </w:r>
      <w:r w:rsidR="00CD4847">
        <w:t xml:space="preserve">.  </w:t>
      </w:r>
    </w:p>
    <w:p w:rsidR="001072C9" w:rsidRDefault="001072C9"/>
    <w:p w:rsidR="0013135F" w:rsidRDefault="002D1AD7">
      <w:r>
        <w:t xml:space="preserve">On the downside, there is </w:t>
      </w:r>
      <w:r w:rsidR="00941C38">
        <w:t xml:space="preserve">the Q1 2022 advanced GDP </w:t>
      </w:r>
      <w:r w:rsidR="00A4613E">
        <w:t xml:space="preserve">announcement </w:t>
      </w:r>
      <w:r w:rsidR="00941C38">
        <w:t xml:space="preserve">and heightened equity market volatility.  </w:t>
      </w:r>
      <w:r w:rsidR="0097141D">
        <w:t>But y</w:t>
      </w:r>
      <w:r w:rsidR="0013135F">
        <w:t>ield curves</w:t>
      </w:r>
      <w:r w:rsidR="004E2A12">
        <w:t xml:space="preserve"> </w:t>
      </w:r>
      <w:r w:rsidR="0013135F">
        <w:t>remain a</w:t>
      </w:r>
      <w:r w:rsidR="004E2A12">
        <w:t>n important</w:t>
      </w:r>
      <w:r w:rsidR="0013135F">
        <w:t xml:space="preserve"> </w:t>
      </w:r>
      <w:r>
        <w:t xml:space="preserve">economic </w:t>
      </w:r>
      <w:r w:rsidR="0013135F">
        <w:t>signal</w:t>
      </w:r>
      <w:r>
        <w:t>, and b</w:t>
      </w:r>
      <w:r w:rsidR="00E24972">
        <w:t xml:space="preserve">ecause of their liquidity, the 10-year minus 3-month Treasury </w:t>
      </w:r>
      <w:r w:rsidR="005C4313">
        <w:t xml:space="preserve">curve </w:t>
      </w:r>
      <w:r w:rsidR="00CB2234">
        <w:t>i</w:t>
      </w:r>
      <w:r w:rsidR="00E24972">
        <w:t xml:space="preserve">s </w:t>
      </w:r>
      <w:r w:rsidR="002542B2">
        <w:t xml:space="preserve">an </w:t>
      </w:r>
      <w:r w:rsidR="00E24972">
        <w:t>inform</w:t>
      </w:r>
      <w:r w:rsidR="006A5A38">
        <w:t>ed</w:t>
      </w:r>
      <w:r w:rsidR="00E24972">
        <w:t xml:space="preserve"> choice</w:t>
      </w:r>
      <w:r>
        <w:t xml:space="preserve">.  It </w:t>
      </w:r>
      <w:r w:rsidR="00A27338">
        <w:t>has been well above 100 bps since January 2021</w:t>
      </w:r>
      <w:r w:rsidR="008A32A0">
        <w:t xml:space="preserve"> </w:t>
      </w:r>
      <w:r w:rsidR="00E24972">
        <w:t>[</w:t>
      </w:r>
      <w:r w:rsidR="00A4613E">
        <w:t>Yield Curve</w:t>
      </w:r>
      <w:r w:rsidR="00E24972">
        <w:t>].</w:t>
      </w:r>
      <w:r w:rsidR="008A32A0">
        <w:t xml:space="preserve"> </w:t>
      </w:r>
      <w:r w:rsidR="00A0756B">
        <w:t xml:space="preserve"> </w:t>
      </w:r>
      <w:r>
        <w:t>J</w:t>
      </w:r>
      <w:r w:rsidR="00BF6BB9">
        <w:t>ob growth remain</w:t>
      </w:r>
      <w:r>
        <w:t>s</w:t>
      </w:r>
      <w:r w:rsidR="00BF6BB9">
        <w:t xml:space="preserve"> strong with </w:t>
      </w:r>
      <w:r w:rsidR="00941C38">
        <w:t xml:space="preserve">upward </w:t>
      </w:r>
      <w:r w:rsidR="00BF6BB9">
        <w:t xml:space="preserve">revisions </w:t>
      </w:r>
      <w:r w:rsidR="00941C38">
        <w:t xml:space="preserve">typical since summer 2021.  </w:t>
      </w:r>
      <w:r w:rsidR="001072C9">
        <w:t>There is always the “next recession,” but a</w:t>
      </w:r>
      <w:r w:rsidR="008A32A0">
        <w:t>bsent a</w:t>
      </w:r>
      <w:r w:rsidR="00F57A7B">
        <w:t xml:space="preserve"> shock that is </w:t>
      </w:r>
      <w:r w:rsidR="00061F89">
        <w:t xml:space="preserve">unforecastable </w:t>
      </w:r>
      <w:r w:rsidR="00DF0D26">
        <w:t>today</w:t>
      </w:r>
      <w:r w:rsidR="008A32A0">
        <w:t xml:space="preserve">, </w:t>
      </w:r>
      <w:r w:rsidR="00985A84">
        <w:t>a recession</w:t>
      </w:r>
      <w:r w:rsidR="008A32A0">
        <w:t xml:space="preserve"> </w:t>
      </w:r>
      <w:r w:rsidR="007035C3">
        <w:t xml:space="preserve">is </w:t>
      </w:r>
      <w:r w:rsidR="00A27338">
        <w:t xml:space="preserve">improbable </w:t>
      </w:r>
      <w:r w:rsidR="008A32A0">
        <w:t xml:space="preserve">in </w:t>
      </w:r>
      <w:r w:rsidR="00A3286F">
        <w:t>the near term</w:t>
      </w:r>
      <w:r w:rsidR="003E3249">
        <w:t xml:space="preserve">.  </w:t>
      </w:r>
      <w:r w:rsidR="001072C9">
        <w:t>P</w:t>
      </w:r>
      <w:r w:rsidR="00A27338">
        <w:t xml:space="preserve">roximate </w:t>
      </w:r>
      <w:r>
        <w:t xml:space="preserve">economic </w:t>
      </w:r>
      <w:r w:rsidR="00A27338">
        <w:t xml:space="preserve">threats </w:t>
      </w:r>
      <w:r w:rsidR="001072C9">
        <w:t xml:space="preserve">remain: </w:t>
      </w:r>
      <w:r w:rsidR="00A27338">
        <w:t xml:space="preserve">sustained supply-chain problems </w:t>
      </w:r>
      <w:r w:rsidR="00F57A7B">
        <w:t xml:space="preserve">due to the pandemic </w:t>
      </w:r>
      <w:r w:rsidR="00A27338">
        <w:t>and Fed policy</w:t>
      </w:r>
      <w:r w:rsidR="0097141D">
        <w:t xml:space="preserve"> errors</w:t>
      </w:r>
      <w:r w:rsidR="00A27338">
        <w:t>.</w:t>
      </w:r>
    </w:p>
    <w:sectPr w:rsidR="0013135F" w:rsidSect="0080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69F" w:rsidRDefault="00AD469F" w:rsidP="000763A2">
      <w:r>
        <w:separator/>
      </w:r>
    </w:p>
  </w:endnote>
  <w:endnote w:type="continuationSeparator" w:id="0">
    <w:p w:rsidR="00AD469F" w:rsidRDefault="00AD469F" w:rsidP="00076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69F" w:rsidRDefault="00AD469F" w:rsidP="000763A2">
      <w:r>
        <w:separator/>
      </w:r>
    </w:p>
  </w:footnote>
  <w:footnote w:type="continuationSeparator" w:id="0">
    <w:p w:rsidR="00AD469F" w:rsidRDefault="00AD469F" w:rsidP="000763A2">
      <w:r>
        <w:continuationSeparator/>
      </w:r>
    </w:p>
  </w:footnote>
  <w:footnote w:id="1">
    <w:p w:rsidR="00EB651F" w:rsidRDefault="00EB651F">
      <w:pPr>
        <w:pStyle w:val="FootnoteText"/>
      </w:pPr>
      <w:r>
        <w:rPr>
          <w:rStyle w:val="FootnoteReference"/>
        </w:rPr>
        <w:footnoteRef/>
      </w:r>
      <w:r>
        <w:t xml:space="preserve"> Source for all materials is the Federal Reserve Economic Database (FRED) and its underlying data sources, unless otherwise noted.</w:t>
      </w:r>
    </w:p>
  </w:footnote>
  <w:footnote w:id="2">
    <w:p w:rsidR="001F7BFE" w:rsidRDefault="001F7BFE">
      <w:pPr>
        <w:pStyle w:val="FootnoteText"/>
      </w:pPr>
      <w:r>
        <w:rPr>
          <w:rStyle w:val="FootnoteReference"/>
        </w:rPr>
        <w:footnoteRef/>
      </w:r>
      <w:r>
        <w:t xml:space="preserve"> The advanced estimate for Q1 2022 showed a contraction based on inventory reduction.</w:t>
      </w:r>
    </w:p>
  </w:footnote>
  <w:footnote w:id="3">
    <w:p w:rsidR="000763A2" w:rsidRDefault="000763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B31F1">
        <w:t>S</w:t>
      </w:r>
      <w:r w:rsidR="00656238">
        <w:t xml:space="preserve">ource: this </w:t>
      </w:r>
      <w:hyperlink r:id="rId1" w:history="1">
        <w:r w:rsidR="004B31F1" w:rsidRPr="004B31F1">
          <w:rPr>
            <w:rStyle w:val="Hyperlink"/>
          </w:rPr>
          <w:t>report</w:t>
        </w:r>
      </w:hyperlink>
      <w:r w:rsidR="004B31F1">
        <w:t xml:space="preserve">.  </w:t>
      </w:r>
    </w:p>
  </w:footnote>
  <w:footnote w:id="4">
    <w:p w:rsidR="000F1578" w:rsidRDefault="000F1578">
      <w:pPr>
        <w:pStyle w:val="FootnoteText"/>
      </w:pPr>
      <w:r>
        <w:rPr>
          <w:rStyle w:val="FootnoteReference"/>
        </w:rPr>
        <w:footnoteRef/>
      </w:r>
      <w:r>
        <w:t xml:space="preserve"> It should be noted that the Fed was intervening in overnight </w:t>
      </w:r>
      <w:r w:rsidR="0076275A">
        <w:t>money</w:t>
      </w:r>
      <w:r>
        <w:t xml:space="preserve"> </w:t>
      </w:r>
      <w:r w:rsidR="0076275A">
        <w:t>(</w:t>
      </w:r>
      <w:r w:rsidR="00E31FA3">
        <w:t xml:space="preserve">or </w:t>
      </w:r>
      <w:r w:rsidR="0076275A">
        <w:t>repo) markets in September 2019, long before the word “</w:t>
      </w:r>
      <w:proofErr w:type="spellStart"/>
      <w:r w:rsidR="0076275A">
        <w:t>C</w:t>
      </w:r>
      <w:r w:rsidR="004B31F1">
        <w:t>ovid</w:t>
      </w:r>
      <w:proofErr w:type="spellEnd"/>
      <w:r w:rsidR="0076275A">
        <w:t xml:space="preserve">” entered the lexicon.  </w:t>
      </w:r>
      <w:r w:rsidR="00656238">
        <w:t xml:space="preserve">Source: </w:t>
      </w:r>
      <w:r w:rsidR="0076275A">
        <w:t xml:space="preserve">this </w:t>
      </w:r>
      <w:hyperlink r:id="rId2" w:history="1">
        <w:r w:rsidR="0076275A" w:rsidRPr="0076275A">
          <w:rPr>
            <w:rStyle w:val="Hyperlink"/>
          </w:rPr>
          <w:t>statement</w:t>
        </w:r>
      </w:hyperlink>
      <w:r w:rsidR="0076275A">
        <w:t xml:space="preserve">.  </w:t>
      </w:r>
    </w:p>
  </w:footnote>
  <w:footnote w:id="5">
    <w:p w:rsidR="0076275A" w:rsidRDefault="007627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B31F1">
        <w:t>I</w:t>
      </w:r>
      <w:r>
        <w:t xml:space="preserve">t should </w:t>
      </w:r>
      <w:r w:rsidR="004B31F1">
        <w:t xml:space="preserve">also </w:t>
      </w:r>
      <w:r>
        <w:t xml:space="preserve">be noted that </w:t>
      </w:r>
      <w:r w:rsidR="004B31F1">
        <w:t xml:space="preserve">a key </w:t>
      </w:r>
      <w:r>
        <w:t>yield curve, measured by the 10-year minus the three-month, inverted in late summer 2019</w:t>
      </w:r>
      <w:r w:rsidR="001A582B">
        <w:t xml:space="preserve"> for a considerable period of time</w:t>
      </w:r>
      <w:r>
        <w:t xml:space="preserve">.  Both the Fed intervention in repo markets and a negative yield curve were indicators that the U.S. economy was not entirely healthy in </w:t>
      </w:r>
      <w:r w:rsidR="001A582B">
        <w:t>the second half of</w:t>
      </w:r>
      <w:r>
        <w:t xml:space="preserve"> 2019.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1C"/>
    <w:rsid w:val="00033C44"/>
    <w:rsid w:val="00060EF2"/>
    <w:rsid w:val="00061F89"/>
    <w:rsid w:val="000649B7"/>
    <w:rsid w:val="000763A2"/>
    <w:rsid w:val="00080DA6"/>
    <w:rsid w:val="000F1578"/>
    <w:rsid w:val="001072C9"/>
    <w:rsid w:val="0011176C"/>
    <w:rsid w:val="0013135F"/>
    <w:rsid w:val="00132265"/>
    <w:rsid w:val="001A582B"/>
    <w:rsid w:val="001F7BFE"/>
    <w:rsid w:val="00232ABF"/>
    <w:rsid w:val="002464E5"/>
    <w:rsid w:val="002542B2"/>
    <w:rsid w:val="002971D0"/>
    <w:rsid w:val="002A4255"/>
    <w:rsid w:val="002A5ECD"/>
    <w:rsid w:val="002C70AE"/>
    <w:rsid w:val="002D1AD7"/>
    <w:rsid w:val="002D62C5"/>
    <w:rsid w:val="002E74ED"/>
    <w:rsid w:val="003060C6"/>
    <w:rsid w:val="00354F3F"/>
    <w:rsid w:val="0038243E"/>
    <w:rsid w:val="003E3249"/>
    <w:rsid w:val="004111C6"/>
    <w:rsid w:val="00432921"/>
    <w:rsid w:val="0044451C"/>
    <w:rsid w:val="00475195"/>
    <w:rsid w:val="00476F94"/>
    <w:rsid w:val="00493591"/>
    <w:rsid w:val="004A285A"/>
    <w:rsid w:val="004B31F1"/>
    <w:rsid w:val="004B61BB"/>
    <w:rsid w:val="004E2A12"/>
    <w:rsid w:val="00502E6F"/>
    <w:rsid w:val="00546259"/>
    <w:rsid w:val="00567856"/>
    <w:rsid w:val="00583025"/>
    <w:rsid w:val="00585B07"/>
    <w:rsid w:val="005931D1"/>
    <w:rsid w:val="005C4313"/>
    <w:rsid w:val="005E37CF"/>
    <w:rsid w:val="006030E6"/>
    <w:rsid w:val="00610229"/>
    <w:rsid w:val="00633B5A"/>
    <w:rsid w:val="00656238"/>
    <w:rsid w:val="00680887"/>
    <w:rsid w:val="00682D47"/>
    <w:rsid w:val="00686142"/>
    <w:rsid w:val="00696312"/>
    <w:rsid w:val="006A5A38"/>
    <w:rsid w:val="006D02A8"/>
    <w:rsid w:val="007035C3"/>
    <w:rsid w:val="00705749"/>
    <w:rsid w:val="00713712"/>
    <w:rsid w:val="007444F3"/>
    <w:rsid w:val="0076275A"/>
    <w:rsid w:val="00807354"/>
    <w:rsid w:val="00814C3C"/>
    <w:rsid w:val="0081644B"/>
    <w:rsid w:val="008168C2"/>
    <w:rsid w:val="00832E57"/>
    <w:rsid w:val="008518E3"/>
    <w:rsid w:val="008A2B62"/>
    <w:rsid w:val="008A32A0"/>
    <w:rsid w:val="008D7E4D"/>
    <w:rsid w:val="009025B2"/>
    <w:rsid w:val="00936C8A"/>
    <w:rsid w:val="00937B0F"/>
    <w:rsid w:val="00941C38"/>
    <w:rsid w:val="0094611D"/>
    <w:rsid w:val="00946EDC"/>
    <w:rsid w:val="0097141D"/>
    <w:rsid w:val="00985A84"/>
    <w:rsid w:val="00990550"/>
    <w:rsid w:val="009B26D9"/>
    <w:rsid w:val="009C2476"/>
    <w:rsid w:val="009D6B98"/>
    <w:rsid w:val="00A0756B"/>
    <w:rsid w:val="00A10D2E"/>
    <w:rsid w:val="00A13C82"/>
    <w:rsid w:val="00A27338"/>
    <w:rsid w:val="00A3286F"/>
    <w:rsid w:val="00A4613E"/>
    <w:rsid w:val="00A62FF8"/>
    <w:rsid w:val="00A77B9E"/>
    <w:rsid w:val="00A85ECC"/>
    <w:rsid w:val="00AA6D01"/>
    <w:rsid w:val="00AA6D4F"/>
    <w:rsid w:val="00AB6983"/>
    <w:rsid w:val="00AD469F"/>
    <w:rsid w:val="00AE45AF"/>
    <w:rsid w:val="00B00780"/>
    <w:rsid w:val="00B3000C"/>
    <w:rsid w:val="00B65FE4"/>
    <w:rsid w:val="00B7318F"/>
    <w:rsid w:val="00B77430"/>
    <w:rsid w:val="00B913C2"/>
    <w:rsid w:val="00BB32F6"/>
    <w:rsid w:val="00BF2525"/>
    <w:rsid w:val="00BF6BB9"/>
    <w:rsid w:val="00C41461"/>
    <w:rsid w:val="00C52392"/>
    <w:rsid w:val="00C65DE7"/>
    <w:rsid w:val="00C77E9F"/>
    <w:rsid w:val="00CA3D95"/>
    <w:rsid w:val="00CB2234"/>
    <w:rsid w:val="00CD4847"/>
    <w:rsid w:val="00D02147"/>
    <w:rsid w:val="00D61F95"/>
    <w:rsid w:val="00D722C2"/>
    <w:rsid w:val="00DA360F"/>
    <w:rsid w:val="00DA473B"/>
    <w:rsid w:val="00DD176D"/>
    <w:rsid w:val="00DE6C3D"/>
    <w:rsid w:val="00DF0D26"/>
    <w:rsid w:val="00DF4A74"/>
    <w:rsid w:val="00E20179"/>
    <w:rsid w:val="00E24972"/>
    <w:rsid w:val="00E31FA3"/>
    <w:rsid w:val="00E5209D"/>
    <w:rsid w:val="00E73FBA"/>
    <w:rsid w:val="00EA02AF"/>
    <w:rsid w:val="00EB0892"/>
    <w:rsid w:val="00EB651F"/>
    <w:rsid w:val="00EC105A"/>
    <w:rsid w:val="00EC46D9"/>
    <w:rsid w:val="00F04F05"/>
    <w:rsid w:val="00F16CE4"/>
    <w:rsid w:val="00F569DD"/>
    <w:rsid w:val="00F57A7B"/>
    <w:rsid w:val="00F60763"/>
    <w:rsid w:val="00FB5B62"/>
    <w:rsid w:val="00FD5C41"/>
    <w:rsid w:val="00FE1973"/>
    <w:rsid w:val="00FE4C0F"/>
    <w:rsid w:val="00FF2BC4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757C"/>
  <w15:chartTrackingRefBased/>
  <w15:docId w15:val="{EBD9A833-B43D-6643-BDB1-C58421D9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763A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63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63A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2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ederalreserve.gov/econres/notes/feds-notes/what-happened-in-money-markets-in-september-2019-20200227.htm" TargetMode="External"/><Relationship Id="rId1" Type="http://schemas.openxmlformats.org/officeDocument/2006/relationships/hyperlink" Target="https://taxfoundation.org/us-covid19-fiscal-respon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4B485F-3364-8941-A891-1516A47FF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2022-04-14T14:53:00Z</dcterms:created>
  <dcterms:modified xsi:type="dcterms:W3CDTF">2022-05-31T21:35:00Z</dcterms:modified>
</cp:coreProperties>
</file>