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五、风险评估测试（RiskAgent）</w:t>
      </w:r>
    </w:p>
    <w:p>
      <w:pPr>
        <w:pStyle w:val="text"/>
      </w:pPr>
      <w:r>
        <w:rPr>
          <w:b/>
          <w:bCs/>
        </w:rPr>
        <w:t xml:space="preserve">模块</w:t>
      </w:r>
      <w:r>
        <w:t xml:space="preserve">：风险评估模块（RiskAgent）</w:t>
      </w:r>
    </w:p>
    <w:p>
      <w:pPr>
        <w:pStyle w:val="text"/>
      </w:pPr>
      <w:r>
        <w:rPr>
          <w:b/>
          <w:bCs/>
        </w:rPr>
        <w:t xml:space="preserve">测试目标</w:t>
      </w:r>
      <w:r>
        <w:t xml:space="preserve">：验证系统对企业劳动用工中常见违规行为的识别能力，精准判定风险等级（高 / 中 / 低），明确法律依据、潜在法律后果及整改建议，为企业规避用工风险提供有效指引。</w:t>
      </w:r>
    </w:p>
    <w:p>
      <w:pPr>
        <w:pStyle w:val="text"/>
      </w:pPr>
      <w:r>
        <w:rPr>
          <w:b/>
          <w:bCs/>
        </w:rPr>
        <w:t xml:space="preserve">判定规则</w:t>
      </w:r>
      <w:r>
        <w:t xml:space="preserve">：风险等级判定准确、核心法律依据引用正确、法律后果</w:t>
      </w:r>
    </w:p>
    <w:p>
      <w:pPr>
        <w:pStyle w:val="text"/>
      </w:pPr>
      <w:r>
        <w:t xml:space="preserve">描清晰、整改建议具有可操作性，四项全部满足即为 “命中”（通过）；任意一项缺失或错误即为 “未命中”（未通过）。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用例 ID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测试目标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输入内容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预期风险等级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预期输出要点（法律依据 + 后果 + 建议）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判定（命中 / 未命中）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实际结果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薪酬处罚合规性风险识别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公司规定迟到一次扣 500 元（员工月基本工资 5000 元）。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法律依据：《工资支付暂行规定》第 16 条（每月扣除金额不得超过劳动者当月工资的 20%）；2. 法律后果：单次扣款 500 元占月工资 10%，未超 20% 但可能因 “处罚过重” 被认定为无效，员工可主张返还；3. 整改建议：调整扣款标准（如单次不超 1000 元），明确处罚制度民主程序备案。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社保自愿放弃协议效力风险识别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员工自愿签署《放弃社保声明书》，公司无需为其缴纳社保。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法律依据：《社会保险法》第 58 条（用人单位应当自用工之日起 30 日内为职工办理社保登记），社保缴纳是法定义务，不得通过协议免除；2. 法律后果：协议无效，企业需补缴社保 + 滞纳金，面临社保部门罚款（每人 500-2000 元），员工可随时主张权利；3. 整改建议：立即为员工补缴社保，废止放弃声明书。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工时制度合规性风险识别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公司给所有销售岗实行 “996” 工作制（早 9 点 - 晚 9 点，每周 6 天），但按规定支付加班费。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法律依据：《劳动法》第 41 条（每月加班不得超过 36 小时），“996” 月加班超 60 小时，违反工时限制；2. 法律后果：劳动行政部门责令改正，给予警告，并处以罚款，员工可主张加班工资差额 + 解除劳动合同经济补偿；3. 整改建议：调整工时制度（如实行综合计算工时制并备案），控制月加班时长≤36 小时。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RISK-04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试用期社保缴纳风险识别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新员工试用期 3 个月，试用期内不缴纳社保，转正后补缴。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法律依据：《社会保险法》第 58 条（用工之日起 30 日内参保，试用期包含在劳动合同期限内）；2. 法律后果：需补缴试用期社保 + 滞纳金，面临罚款，员工可被迫解除劳动合同并主张经济补偿；3. 整改建议：试用期内正常为员工缴纳社保，补足已入职员工试用期社保。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RISK-05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劳务派遣用工比例风险识别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公司使用劳务派遣用工占全部岗位 40%，涵盖核心业务岗。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法律依据：《劳务派遣暂行规定》第 4 条（劳务派遣用工比例不得超过 10%）、第 2 条（仅可用于临时性、辅助性、替代性岗位）；2. 法律后果：劳动行政部门责令限期改正，逾期未改按每人 5000-10000 元罚款；3. 整改建议：将超比例劳务派遣员工转为正式用工，核心业务岗不得使用劳务派遣。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RISK-06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未签劳动合同风险识别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员工入职 6 个月，公司未与其签订书面劳动合同，仅口头约定薪资。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法律依据：《劳动合同法》第 10 条（入职 1 个月内签订劳动合同）、第 82 条（超过 1 个月未签需支付双倍工资）；2. 法律后果：需支付员工入职第 2-6 个月共 5 个月双倍工资差额，员工可主张签订无固定期限劳动合同；3. 整改建议：立即与员工补签书面劳动合同，留存签订凭证。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RISK-07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经济补偿支付风险识别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协商解除劳动合同，公司仅支付基本工资作为经济补偿，未包含奖金、提成。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法律依据：《劳动合同法实施条例》第 27 条（经济补偿基数包含工资、奖金、津贴、补贴等全部劳动报酬）；2. 法律后果：员工可主张经济补偿差额，劳动仲裁大概率支持；3. 整改建议：按员工离职前 12 个月平均工资（含奖金、提成）核算经济补偿并补足差额。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RISK-08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竞业限制协议合规风险识别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公司与普通行政岗员工签订竞业限制协议，约定竞业限制期限 3 年，无补偿金。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法律依据：《劳动合同法》第 24 条（竞业限制仅适用于高级管理人员、高级技术人员和其他负有保密义务的人员，最长期限 2 年）、第 23 条（需支付竞业限制补偿金）；2. 法律后果：协议对普通行政岗无效，员工可拒绝履行，公司可能面临违约赔偿；3. 整改建议：解除与普通行政岗员工的竞业限制协议，对符合条件的员工明确补偿金标准（不低于离职前月工资 30%）。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RISK-09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女职工孕期保护风险识别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女职工怀孕后，公司将其从技术岗调至后勤岗，月薪从 15000 元降至 8000 元。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法律依据：《女职工劳动保护特别规定》第 5 条（不得因怀孕降低工资、调整岗位）；2. 法律后果：员工可主张恢复原岗位、补足工资差额，被迫解除劳动合同可主张经济补偿；3. 整改建议：恢复员工原岗位及薪资标准，不得因怀孕设置歧视性待遇。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RISK-10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年休假未休补偿风险识别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员工离职时，公司以 “员工未主动申请” 为由，拒绝支付未休年休假工资。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法律依据：《企业职工带薪年休假实施办法》第 10 条（未休年休假需支付 200% 工资报酬）；2. 法律后果：员工可主张未休年休假工资，劳动仲裁支持率高；3. 整改建议：按员工未休天数支付 200% 工资报酬，建立年休假主动提醒制度。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RISK-11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试用期长度合规风险识别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与员工签订 3 年劳动合同，约定试用期 6 个月，试用期工资为正式工资的 60%。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法律依据：《劳动合同法》第 19 条（3 年以上劳动合同试用期不得超过 6 个月）、第 20 条（试用期工资不得低于正式工资 80%）；2. 法律后果：试用期工资违法，员工可主张补足差额；3. 整改建议：将试用期工资调整至正式工资 80% 以上，补足已支付的工资差额。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RISK-12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工资支付周期风险识别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公司规定销售人员工资按季度发放，无书面约定。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法律依据：《工资支付暂行规定》第 7 条（工资至少每月支付一次）；2. 法律后果：员工可主张按月支付工资，劳动行政部门可责令整改并罚款；3. 整改建议：改为按月支付工资，如需调整支付周期需与员工书面约定并备案。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RISK-13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违法解雇风险识别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员工因轻微工作失误（未造成损失），公司当即作出辞退决定，未提前通知。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法律依据：《劳动合同法》第 39 条（过失性辞退需符合法定情形）、第 40 条（无过失性辞退需提前 30 天通知或支付代通知金）；2. 法律后果：构成违法解除，需支付 2N 赔偿金，员工可主张继续履行劳动合同；3. 整改建议：撤销辞退决定或与员工协商解除并支付 N+1 补偿，完善解雇流程（举证、通知工会）。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RISK-14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社保缴费基数风险识别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公司按当地最低工资标准为员工缴纳社保，实际员工月平均工资为 10000 元。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法律依据：《社会保险法》第 12 条（社保缴费基数按职工工资总额确定）；2. 法律后果：需补缴社保基数差额 + 滞纳金，面临社保部门罚款，员工可投诉举报；3. 整改建议：按员工实际工资总额申报社保缴费基数，补足历史差额。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非全日制用工合规风险识别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公司与非全日制员工约定每日工作 8 小时，按月支付工资，不缴纳工伤保险。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法律依据：《劳动合同法》第 68 条（非全日制用工每日工作不超过 4 小时）、第 72 条（工资支付周期不超过 15 日）、《工伤保险条例》第 2 条（非全日制用工需缴纳工伤保险）；2. 法律后果：视为全日制用工，需补缴社保、支付未签合同双倍工资，员工工伤需承担全部赔偿责任；3. 整改建议：调整非全日制员工工作时长（每日≤4 小时），改为按周支付工资，立即补缴工伤保险。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RISK-16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培训费违约金风险识别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公司为员工提供普通岗前培训，约定服务期 3 年，员工提前离职需支付 5 万元违约金。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低风险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法律依据：《劳动合同法》第 22 条（仅专项培训可约定服务期和违约金）；2. 法律后果：岗前培训不属于专项培训，违约金约定无效，员工无需支付；3. 整改建议：删除服务期及违约金约定，如提供专项培训需明确培训费用、服务期及违约金计算方式。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RISK-17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高温津贴支付风险识别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夏季露天作业员工，公司未支付高温津贴，仅提供降温饮料。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法律依据：《防暑降温措施管理办法》第 17 条（高温津贴纳入工资总额，不得用饮料替代）；2. 法律后果：员工可主张支付高温津贴（按当地标准，如广东 150 元 / 月），劳动监察部门可责令整改；3. 整改建议：按当地规定标准支付高温津贴，留存支付凭证。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RISK-18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劳务派遣岗位性质风险识别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公司将核心技术岗（如软件工程师）全部采用劳务派遣用工，期限超过 2 年。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法律依据：《劳务派遣暂行规定》第 2 条（劳务派遣仅适用于临时性、辅助性、替代性岗位）、第 5 条（派遣期限不得超过 6 个月）；2. 法律后果：劳动行政部门责令改正，逾期未改按每人 5000-10000 元罚款；3. 整改建议：将核心技术岗劳务派遣员工转为正式用工，限定劳务派遣岗位为辅助性岗位并备案。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RISK-19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员工离职交接风险识别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员工离职时未办理工作交接，公司扣发其最后一个月工资作为 “违约金”。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法律依据：《工资支付暂行规定》第 9 条（离职当日一次性结清工资，不得无故克扣）；2. 法律后果：员工可主张支付拖欠工资，劳动行政部门可责令支付赔偿金；3. 整改建议：立即支付员工最后一个月工资，如员工未交接造成损失可另行主张赔偿（需举证损失金额）。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RISK-20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未成年人用工合规风险识别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公司招聘 17 周岁未成年人从事夜班流水线工作（晚 10 点 - 早 6 点），未办理未成年工登记。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法律依据：《未成年人保护法》第 61 条（不得安排未成年人从事夜班劳动）、《未成年工特殊保护规定》第 9 条（用人单位需办理未成年工登记）；2. 法律后果：劳动行政部门责令整改，并处以罚款，造成损害需承担赔偿责任；3. 整改建议：调整未成年人工作班次（取消夜班），立即办理未成年工登记，定期进行健康检查。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Heading2"/>
      </w:pPr>
      <w:r>
        <w:t xml:space="preserve">风险评估测试统计（论文直接可用）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测试总数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命中数（通过数）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未命中数（未通过数）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通过率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高风险场景识别准确率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中低风险场景识别准确率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通过率 = 命中数 ÷ 总测试数 ×100%；高风险场景共 14 组，中风险 5 组，低风险 1 组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2026-05-13T09:29:25.223Z</dcterms:created>
  <dcterms:modified xsi:type="dcterms:W3CDTF">2026-05-13T09:29:25.223Z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