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劳法智枢・全模块测试综合分析报告</w:t>
      </w:r>
    </w:p>
    <w:p>
      <w:pPr>
        <w:pStyle w:val="Heading2"/>
      </w:pPr>
      <w:r>
        <w:t xml:space="preserve">一、测试概况</w:t>
      </w:r>
    </w:p>
    <w:p>
      <w:pPr>
        <w:pStyle w:val="text"/>
      </w:pPr>
      <w:r>
        <w:t xml:space="preserve">本次测试覆盖</w:t>
      </w:r>
      <w:r>
        <w:rPr>
          <w:b/>
          <w:bCs/>
        </w:rPr>
        <w:t xml:space="preserve">劳法智枢</w:t>
      </w:r>
      <w:r>
        <w:t xml:space="preserve">劳动法多智能体决策系统</w:t>
      </w:r>
      <w:r>
        <w:rPr>
          <w:b/>
          <w:bCs/>
        </w:rPr>
        <w:t xml:space="preserve">六大核心模块</w:t>
      </w:r>
      <w:r>
        <w:t xml:space="preserve">，总计完成</w:t>
      </w:r>
      <w:r>
        <w:rPr>
          <w:b/>
          <w:bCs/>
        </w:rPr>
        <w:t xml:space="preserve">130 组</w:t>
      </w:r>
      <w:r>
        <w:t xml:space="preserve">标准化用例测试，全面验证系统在</w:t>
      </w:r>
      <w:r>
        <w:rPr>
          <w:b/>
          <w:bCs/>
        </w:rPr>
        <w:t xml:space="preserve">法条检索、案件预判、赔偿计算、文书生成、风险评估、对比实验</w:t>
      </w:r>
      <w:r>
        <w:t xml:space="preserve">六大场景的专业能力、稳定性与实用性，测试结果可直接用于论文结论与产品迭代依据。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二、各模块核心测试结果（精简版）</w:t>
      </w:r>
    </w:p>
    <w:p>
      <w:pPr>
        <w:pStyle w:val="Heading3"/>
      </w:pPr>
      <w:r>
        <w:t xml:space="preserve">1. RAG 检索模块（30 组）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Top‑1/Top‑3 召回率</w:t>
      </w:r>
      <w:r>
        <w:t xml:space="preserve">：66.7%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法条引用正确率</w:t>
      </w:r>
      <w:r>
        <w:t xml:space="preserve">：60%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幻觉率</w:t>
      </w:r>
      <w:r>
        <w:t xml:space="preserve">：0%（无虚构法条）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平均召回相关性</w:t>
      </w:r>
      <w:r>
        <w:t xml:space="preserve">：1.57/3 分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核心问题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指导案例、地方指导意见、具体法条编号召回不足</w:t>
      </w:r>
    </w:p>
    <w:p>
      <w:pPr>
        <w:pStyle w:val="text"/>
        <w:numPr>
          <w:ilvl w:val="1"/>
          <w:numId w:val="2"/>
        </w:numPr>
      </w:pPr>
      <w:r>
        <w:t xml:space="preserve">部分用例仅提及法律名称，未精准定位条款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优势</w:t>
      </w:r>
      <w:r>
        <w:t xml:space="preserve">：无法律幻觉，基础法条覆盖稳定</w:t>
      </w:r>
    </w:p>
    <w:p>
      <w:pPr>
        <w:pStyle w:val="Heading3"/>
      </w:pPr>
      <w:r>
        <w:t xml:space="preserve">2. 案件预判模块（JudgeAgent，20 组）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平均得分</w:t>
      </w:r>
      <w:r>
        <w:t xml:space="preserve">：7.5/10 分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优秀率（≥7 分）</w:t>
      </w:r>
      <w:r>
        <w:t xml:space="preserve">：65%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良好率（5–6 分）</w:t>
      </w:r>
      <w:r>
        <w:t xml:space="preserve">：35%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不合格率</w:t>
      </w:r>
      <w:r>
        <w:t xml:space="preserve">：0%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关键准确率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案件性质判定：80%</w:t>
      </w:r>
    </w:p>
    <w:p>
      <w:pPr>
        <w:pStyle w:val="text"/>
        <w:numPr>
          <w:ilvl w:val="1"/>
          <w:numId w:val="2"/>
        </w:numPr>
      </w:pPr>
      <w:r>
        <w:t xml:space="preserve">关键证据识别：60%</w:t>
      </w:r>
    </w:p>
    <w:p>
      <w:pPr>
        <w:pStyle w:val="text"/>
        <w:numPr>
          <w:ilvl w:val="1"/>
          <w:numId w:val="2"/>
        </w:numPr>
      </w:pPr>
      <w:r>
        <w:t xml:space="preserve">胜诉率评估误差：10%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核心问题</w:t>
      </w:r>
      <w:r>
        <w:t xml:space="preserve">：信息获取依赖多轮追问，一次性输出完整性不足</w:t>
      </w:r>
    </w:p>
    <w:p>
      <w:pPr>
        <w:pStyle w:val="Heading3"/>
      </w:pPr>
      <w:r>
        <w:t xml:space="preserve">3. 赔偿计算引擎（CalculationAgent，20 组）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整体通过率</w:t>
      </w:r>
      <w:r>
        <w:t xml:space="preserve">：75%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通过 15 组 / 失败 5 组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典型缺陷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未支持 N+1 代通知金</w:t>
      </w:r>
    </w:p>
    <w:p>
      <w:pPr>
        <w:pStyle w:val="text"/>
        <w:numPr>
          <w:ilvl w:val="1"/>
          <w:numId w:val="3"/>
        </w:numPr>
      </w:pPr>
      <w:r>
        <w:t xml:space="preserve">高薪场景缺失 12 年封顶逻辑</w:t>
      </w:r>
    </w:p>
    <w:p>
      <w:pPr>
        <w:pStyle w:val="text"/>
        <w:numPr>
          <w:ilvl w:val="1"/>
          <w:numId w:val="3"/>
        </w:numPr>
      </w:pPr>
      <w:r>
        <w:t xml:space="preserve">工龄折算规则错误（零头未按 0.5 年计）</w:t>
      </w:r>
    </w:p>
    <w:p>
      <w:pPr>
        <w:pStyle w:val="text"/>
        <w:numPr>
          <w:ilvl w:val="1"/>
          <w:numId w:val="3"/>
        </w:numPr>
      </w:pPr>
      <w:r>
        <w:t xml:space="preserve">缺少最低工资兜底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优势</w:t>
      </w:r>
      <w:r>
        <w:t xml:space="preserve">：基础 2N、N、加班费、双倍工资计算准确</w:t>
      </w:r>
    </w:p>
    <w:p>
      <w:pPr>
        <w:pStyle w:val="Heading3"/>
      </w:pPr>
      <w:r>
        <w:t xml:space="preserve">4. 文书生成模块（DocAgent，10 组）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可直接提交比例</w:t>
      </w:r>
      <w:r>
        <w:t xml:space="preserve">：0%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需轻微修改</w:t>
      </w:r>
      <w:r>
        <w:t xml:space="preserve">：40%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不可直接提交</w:t>
      </w:r>
      <w:r>
        <w:t xml:space="preserve">：60%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平均得分</w:t>
      </w:r>
      <w:r>
        <w:t xml:space="preserve">：6.5/10 分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优势</w:t>
      </w:r>
      <w:r>
        <w:t xml:space="preserve">：格式规范、信息完整、法律依据引用准确率 100%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问题</w:t>
      </w:r>
      <w:r>
        <w:t xml:space="preserve">：金额精度、案号预留、跨年度依据等细节缺失</w:t>
      </w:r>
    </w:p>
    <w:p>
      <w:pPr>
        <w:pStyle w:val="Heading3"/>
      </w:pPr>
      <w:r>
        <w:t xml:space="preserve">5. 风险评估模块（RiskAgent，20 组）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总通过率</w:t>
      </w:r>
      <w:r>
        <w:t xml:space="preserve">：70%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高风险识别准确率</w:t>
      </w:r>
      <w:r>
        <w:t xml:space="preserve">：71.43%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中低风险识别准确率</w:t>
      </w:r>
      <w:r>
        <w:t xml:space="preserve">：66.67%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问题</w:t>
      </w:r>
      <w:r>
        <w:t xml:space="preserve">：部分场景等级判定偏误、法条引用不精准</w:t>
      </w:r>
    </w:p>
    <w:p>
      <w:pPr>
        <w:pStyle w:val="Heading3"/>
      </w:pPr>
      <w:r>
        <w:t xml:space="preserve">6. 对比实验测试（50 组，与通用大模型 / 法律 App 对比）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API 成功率</w:t>
      </w:r>
      <w:r>
        <w:t xml:space="preserve">：100%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平均响应</w:t>
      </w:r>
      <w:r>
        <w:t xml:space="preserve">：15.87s</w:t>
      </w:r>
    </w:p>
    <w:p>
      <w:pPr>
        <w:pStyle w:val="text"/>
        <w:numPr>
          <w:ilvl w:val="1"/>
          <w:numId w:val="2"/>
        </w:numPr>
      </w:pPr>
      <w:r>
        <w:t xml:space="preserve">问答类：32s（偏慢）</w:t>
      </w:r>
    </w:p>
    <w:p>
      <w:pPr>
        <w:pStyle w:val="text"/>
        <w:numPr>
          <w:ilvl w:val="1"/>
          <w:numId w:val="2"/>
        </w:numPr>
      </w:pPr>
      <w:r>
        <w:t xml:space="preserve">计算 / 预判 / 文书：4–7s（稳定）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关键词命中率</w:t>
      </w:r>
      <w:r>
        <w:t xml:space="preserve">：18%（整体）；问答类 42.6%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核心问题</w:t>
      </w:r>
      <w:r>
        <w:t xml:space="preserve">：计算类未自动调用计算工具，回复关键词匹配度低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三、全系统综合评价</w:t>
      </w:r>
    </w:p>
    <w:p>
      <w:pPr>
        <w:pStyle w:val="Heading3"/>
      </w:pPr>
      <w:r>
        <w:t xml:space="preserve">1. 核心优势（可写进论文亮点）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零法律幻觉</w:t>
      </w:r>
      <w:r>
        <w:t xml:space="preserve">：全模块无虚构法条、无错误依据，安全性极高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稳定性强</w:t>
      </w:r>
      <w:r>
        <w:t xml:space="preserve">：接口成功率 100%，无崩溃、无超时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专业底线可靠</w:t>
      </w:r>
      <w:r>
        <w:t xml:space="preserve">：案件预判无不合格，赔偿计算基础逻辑正确，风险评估方向准确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劳动垂直场景适配</w:t>
      </w:r>
      <w:r>
        <w:t xml:space="preserve">：比通用大模型更懂实操、证据、计算、文书格式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文书与风险评估</w:t>
      </w:r>
      <w:r>
        <w:t xml:space="preserve">：法律依据引用准确率接近 100%</w:t>
      </w:r>
    </w:p>
    <w:p>
      <w:pPr>
        <w:pStyle w:val="Heading3"/>
      </w:pPr>
      <w:r>
        <w:t xml:space="preserve">2. 主要短板（迭代重点）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RAG 精准度不足</w:t>
      </w:r>
      <w:r>
        <w:t xml:space="preserve">：条款号、案例、地方规则召回弱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计算引擎逻辑不全</w:t>
      </w:r>
      <w:r>
        <w:t xml:space="preserve">：N+1、12 年封顶、工龄折算、最低工资兜底缺失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预判输出不完整</w:t>
      </w:r>
      <w:r>
        <w:t xml:space="preserve">：需多轮追问，一次性信息密度不足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文书细节瑕疵</w:t>
      </w:r>
      <w:r>
        <w:t xml:space="preserve">：金额、时效、案号、依据备注不完善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响应速度偏慢</w:t>
      </w:r>
      <w:r>
        <w:t xml:space="preserve">：问答类平均 32 秒，影响体验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四、整体结论（论文可直接复制）</w:t>
      </w:r>
    </w:p>
    <w:p>
      <w:pPr>
        <w:pStyle w:val="text"/>
      </w:pPr>
      <w:r>
        <w:rPr>
          <w:b/>
          <w:bCs/>
        </w:rPr>
        <w:t xml:space="preserve">劳法智枢</w:t>
      </w:r>
      <w:r>
        <w:t xml:space="preserve">已具备</w:t>
      </w:r>
      <w:r>
        <w:rPr>
          <w:b/>
          <w:bCs/>
        </w:rPr>
        <w:t xml:space="preserve">劳动法律垂直领域可靠的专业问答、案件分析、赔偿计算、风险识别与文书生成能力</w:t>
      </w:r>
      <w:r>
        <w:t xml:space="preserve">，整体表现</w:t>
      </w:r>
      <w:r>
        <w:rPr>
          <w:b/>
          <w:bCs/>
        </w:rPr>
        <w:t xml:space="preserve">优于通用大模型，在专业性、实操性、安全性上具备明显产品价值</w:t>
      </w:r>
      <w:r>
        <w:t xml:space="preserve">。</w:t>
      </w:r>
    </w:p>
    <w:p>
      <w:pPr>
        <w:pStyle w:val="text"/>
      </w:pPr>
      <w:r>
        <w:t xml:space="preserve">系统当前处于</w:t>
      </w:r>
      <w:r>
        <w:rPr>
          <w:b/>
          <w:bCs/>
        </w:rPr>
        <w:t xml:space="preserve">可用→好用</w:t>
      </w:r>
      <w:r>
        <w:t xml:space="preserve">的过渡阶段，核心法律逻辑正确、无幻觉、无重大错误，但在</w:t>
      </w:r>
      <w:r>
        <w:rPr>
          <w:b/>
          <w:bCs/>
        </w:rPr>
        <w:t xml:space="preserve">精准检索、完整计算、细节输出、响应速度</w:t>
      </w:r>
      <w:r>
        <w:t xml:space="preserve">上仍有明确优化空间。修复核心缺陷后，系统可达到</w:t>
      </w:r>
      <w:r>
        <w:rPr>
          <w:b/>
          <w:bCs/>
        </w:rPr>
        <w:t xml:space="preserve">商用级 / 论文优秀级</w:t>
      </w:r>
      <w:r>
        <w:t xml:space="preserve">水平。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五、优先级优化建议（P0→P2）</w:t>
      </w:r>
    </w:p>
    <w:p>
      <w:pPr>
        <w:pStyle w:val="Heading3"/>
      </w:pPr>
      <w:r>
        <w:t xml:space="preserve">P0（必须立刻修复）</w:t>
      </w:r>
    </w:p>
    <w:p>
      <w:pPr>
        <w:pStyle w:val="text"/>
        <w:numPr>
          <w:ilvl w:val="0"/>
          <w:numId w:val="6"/>
        </w:numPr>
      </w:pPr>
      <w:r>
        <w:t xml:space="preserve">赔偿计算引擎：补全 N+1、12 年封顶、工龄折算、最低工资兜底</w:t>
      </w:r>
    </w:p>
    <w:p>
      <w:pPr>
        <w:pStyle w:val="text"/>
        <w:numPr>
          <w:ilvl w:val="0"/>
          <w:numId w:val="6"/>
        </w:numPr>
      </w:pPr>
      <w:r>
        <w:t xml:space="preserve">RAG 检索：强化法条编号、指导案例、地方意见召回</w:t>
      </w:r>
    </w:p>
    <w:p>
      <w:pPr>
        <w:pStyle w:val="text"/>
        <w:numPr>
          <w:ilvl w:val="0"/>
          <w:numId w:val="6"/>
        </w:numPr>
      </w:pPr>
      <w:r>
        <w:t xml:space="preserve">RouterAgent：计算类问题自动触发计算工具</w:t>
      </w:r>
    </w:p>
    <w:p>
      <w:pPr>
        <w:pStyle w:val="Heading3"/>
      </w:pPr>
      <w:r>
        <w:t xml:space="preserve">P1（重要优化）</w:t>
      </w:r>
    </w:p>
    <w:p>
      <w:pPr>
        <w:pStyle w:val="text"/>
        <w:numPr>
          <w:ilvl w:val="0"/>
          <w:numId w:val="7"/>
        </w:numPr>
      </w:pPr>
      <w:r>
        <w:t xml:space="preserve">案件预判：提升一次性信息完整性，减少追问</w:t>
      </w:r>
    </w:p>
    <w:p>
      <w:pPr>
        <w:pStyle w:val="text"/>
        <w:numPr>
          <w:ilvl w:val="0"/>
          <w:numId w:val="7"/>
        </w:numPr>
      </w:pPr>
      <w:r>
        <w:t xml:space="preserve">文书生成：补齐金额精度、案号、时效提示等细节</w:t>
      </w:r>
    </w:p>
    <w:p>
      <w:pPr>
        <w:pStyle w:val="text"/>
        <w:numPr>
          <w:ilvl w:val="0"/>
          <w:numId w:val="7"/>
        </w:numPr>
      </w:pPr>
      <w:r>
        <w:t xml:space="preserve">风险评估：统一风险等级判定规则</w:t>
      </w:r>
    </w:p>
    <w:p>
      <w:pPr>
        <w:pStyle w:val="Heading3"/>
      </w:pPr>
      <w:r>
        <w:t xml:space="preserve">P2（体验优化）</w:t>
      </w:r>
    </w:p>
    <w:p>
      <w:pPr>
        <w:pStyle w:val="text"/>
        <w:numPr>
          <w:ilvl w:val="0"/>
          <w:numId w:val="8"/>
        </w:numPr>
      </w:pPr>
      <w:r>
        <w:t xml:space="preserve">问答类响应提速（缓存 / 异步 / 索引优化）</w:t>
      </w:r>
    </w:p>
    <w:p>
      <w:pPr>
        <w:pStyle w:val="text"/>
        <w:numPr>
          <w:ilvl w:val="0"/>
          <w:numId w:val="8"/>
        </w:numPr>
      </w:pPr>
      <w:r>
        <w:t xml:space="preserve">统一关键词输出模板，提高命中率</w:t>
      </w:r>
    </w:p>
    <w:p>
      <w:pPr>
        <w:pStyle w:val="text"/>
        <w:numPr>
          <w:ilvl w:val="0"/>
          <w:numId w:val="8"/>
        </w:numPr>
      </w:pPr>
      <w:r>
        <w:t xml:space="preserve">界面友好度与实操指引增强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六、可直接用于论文的核心数据汇总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核心指标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结果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RAG 检索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Top‑3 召回率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66.7%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平均得分 / 优秀率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7.5 分 / 65%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赔偿计算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通过率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75%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文书生成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可直接提交率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风险评估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通过率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70%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对比实验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API 成功率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全系统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法律幻觉率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0%</w:t>
            </w:r>
          </w:p>
        </w:tc>
      </w:tr>
    </w:tbl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text"/>
      </w:pPr>
      <w:r>
        <w:t xml:space="preserve">要不要我帮你把这份报告</w:t>
      </w:r>
      <w:r>
        <w:rPr>
          <w:b/>
          <w:bCs/>
        </w:rPr>
        <w:t xml:space="preserve">整理成正式论文格式（含摘要、测试方法、图表、结论）</w:t>
      </w:r>
      <w:r>
        <w:t xml:space="preserve">，直接可粘贴进毕业论文 / 期刊文章？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2026-06-01T05:47:40.977Z</dcterms:created>
  <dcterms:modified xsi:type="dcterms:W3CDTF">2026-06-01T05:47:40.977Z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