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三、RAG 检索测试（法条与案例召回）</w:t>
      </w:r>
    </w:p>
    <w:p>
      <w:pPr>
        <w:pStyle w:val="text"/>
      </w:pPr>
      <w:r>
        <w:rPr>
          <w:b/>
          <w:bCs/>
        </w:rPr>
        <w:t xml:space="preserve">模块</w:t>
      </w:r>
      <w:r>
        <w:t xml:space="preserve">：RAG 知识库检索模块</w:t>
      </w:r>
    </w:p>
    <w:p>
      <w:pPr>
        <w:pStyle w:val="text"/>
      </w:pPr>
      <w:r>
        <w:rPr>
          <w:b/>
          <w:bCs/>
        </w:rPr>
        <w:t xml:space="preserve">测试目标</w:t>
      </w:r>
      <w:r>
        <w:t xml:space="preserve">：验证系统在劳动争议场景下，精准召回相关法条、司法解释、指导案例、部门规章的能力，证明回答基于知识库支撑而非纯大模型生成，覆盖不同效力层级法律文件。</w:t>
      </w:r>
    </w:p>
    <w:p>
      <w:pPr>
        <w:pStyle w:val="text"/>
      </w:pPr>
      <w:r>
        <w:rPr>
          <w:b/>
          <w:bCs/>
        </w:rPr>
        <w:t xml:space="preserve">判定规则</w:t>
      </w:r>
      <w:r>
        <w:t xml:space="preserve">：输入问题后，系统返回结果中 Top-3 召回文档需包含 “期望召回” 中指定的核心法律文件（法条 / 案例 / 规章），即判定为检查点命中；仅需命中核心文件，无需完全匹配表述。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用例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输入问题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期望召回（Top-3 内必须包含）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检查点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实际结果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验证违法解雇相关法条召回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末位淘汰是否合法？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最高人民法院指导案例 18 号（中兴通讯（杭州）有限责任公司诉王鹏劳动合同纠纷案）；2. 《劳动合同法》第 40 条（无过失性辞退情形）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验证经济性裁员相关法条召回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公司经营困难辞退员工是否合法？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40 条第 3 项（客观情况重大变化）；2. 《劳动合同法》第 41 条（经济性裁员条件与程序）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验证加班工资基数相关文件召回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加班工资计算基数如何确定？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《工资支付暂行规定》第 13 条；2. 当地高院劳动争议司法解释（如《广东省高级人民法院关于审理劳动争议案件若干问题的指导意见》第 28 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至少召回 1 条有效法条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验证竞业限制补偿相关法条召回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竞业限制补偿金标准是什么？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23 条；2. 《最高人民法院关于审理劳动争议案件适用法律问题的解释（一）》第 36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验证工伤认定时效相关法条召回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工伤认定申请时效是多久？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《工伤保险条例》第 17 条（申请主体及时限）；2. 《最高人民法院关于审理工伤保险行政案件若干问题的规定》第 7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验证劳务派遣工伤责任召回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劳务派遣中劳动者受伤谁负责？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92 条第 2 款（劳务派遣单位与用工单位连带责任）；2. 相关典型案例（如劳务派遣员工工伤赔偿纠纷案）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命中法条或案例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验证员工离职工资支付召回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员工擅自离职，公司可否不发工资？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《工资支付暂行规定》第 9 条（离职一次性结清工资）；2. 《劳动合同法》第 90 条（员工赔偿责任）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命中规定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验证无固定期限合同相关召回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无固定期限劳动合同订立条件有哪些？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14 条（法定订立情形）；2. 《劳动合同法实施条例》第 11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RAG-09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验证离职证明相关法条召回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离职证明必须写哪些内容？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《劳动合同法实施条例》第 24 条（离职证明必备事项）；2. 《就业促进法》第 39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验证工龄连续计算相关召回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公司合并后工龄是否连续计算？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34 条（公司合并分立后劳动关系）；2. 《劳动合同法实施条例》第 10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验证未签合同双倍工资召回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未签订劳动合同的双倍工资如何主张？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82 条第 1 款；2. 《最高人民法院关于审理劳动争议案件适用法律问题的解释（一）》第 34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验证试用期辞退相关法条召回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试用期无理由辞退是否合法？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39 条第 1 项（试用期不符合录用条件）；2. 《劳动合同法》第 21 条（试用期辞退限制）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验证社保补缴相关规章召回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公司未缴社保，员工可要求补缴吗？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《社会保险法》第 63 条（社保补缴义务）；2. 《劳动保障监察条例》第 20 条（监察时效）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命中法条或规章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验证经济补偿封顶相关召回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经济补偿金的计算有封顶限制吗？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47 条第 2 款（高薪封顶规定）；2. 当地社平工资 3 倍标准文件（如各省市年度人力资源和社会保障事业发展统计公报）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验证女职工三期保护相关召回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孕期女职工可以被辞退吗？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42 条第 4 项（三期女职工解雇禁止）；2. 《女职工劳动保护特别规定》第 5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验证代通知金相关法条召回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什么情况下公司辞退员工需要支付代通知金？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40 条（无过失性辞退代通知金情形）；2. 《劳动合同法实施条例》第 20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验证劳动仲裁管辖相关召回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劳动争议仲裁管辖地如何确定？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《劳动争议调解仲裁法》第 21 条（履行地与用人单位所在地管辖）；2. 最高人民法院相关批复（如《关于审理劳动争议案件适用法律若干问题的解释》第 8 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验证竞业限制解除相关召回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公司未支付竞业限制补偿金，员工可解除竞业限制吗？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《最高人民法院关于审理劳动争议案件适用法律问题的解释（一）》第 38 条；2. 《劳动合同法》第 23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RAG-19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验证工伤待遇支付相关召回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工伤期间工资待遇如何发放？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《工伤保险条例》第 33 条（停工留薪期工资）；2. 《社会保险法》第 39 条第 1 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验证工资拖欠赔偿金相关召回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公司拖欠工资，员工可主张多少赔偿金？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85 条（拖欠工资加付赔偿金）；2. 《劳动保障监察条例》第 26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命中法条或规章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验证年休假天数相关规章召回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职工带薪年休假天数如何计算？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《职工带薪年休假条例》第 3 条；2. 《企业职工带薪年休假实施办法》第 4 条（工龄折算）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验证劳务派遣用工比例召回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劳务派遣用工占比有什么限制？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《劳务派遣暂行规定》第 4 条（用工比例不超过 10%）；2. 《劳动合同法》第 66 条（劳务派遣适用岗位）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命中规章或法条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验证劳动合同无效相关召回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哪些情况下劳动合同无效？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26 条（无效情形）；2. 《最高人民法院关于审理劳动争议案件适用法律问题的解释（一）》第 31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验证加班时间限制相关召回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每月加班最长不能超过多少小时？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《劳动法》第 41 条（每月加班不超过 36 小时）；2. 《国务院关于职工工作时间的规定》第 3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验证离职经济补偿纳税相关召回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离职经济补偿金需要缴纳个人所得税吗？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《财政部 税务总局关于个人所得税法修改后有关优惠政策衔接问题的通知》（财税〔2018〕164 号）第 5 条；2. 国家税务总局相关解读文件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命中规范性文件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验证工伤复发待遇相关召回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工伤复发后可以享受哪些待遇？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《工伤保险条例》第 38 条（工伤复发待遇）；2. 《工伤职工劳动能力鉴定管理办法》第 17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验证非全日制用工相关召回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非全日制用工的工资支付周期有什么规定？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72 条第 2 款（支付周期不超过 15 日）；2. 《劳动保障部关于非全日制用工若干问题的意见》第 5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命中法条或意见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验证工资扣除限制相关召回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公司可以从员工工资中扣除损失赔偿吗？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《工资支付暂行规定》第 16 条（每月扣除不超过 20%）；2. 当地工资支付条例（如《广东省工资支付条例》第 15 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RAG-29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验证劳动争议诉讼时效召回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对劳动仲裁裁决不服，多久内可以起诉？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《劳动争议调解仲裁法》第 50 条（15 日起诉期限）；2. 《民事诉讼法》第 127 条第 1 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RAG-30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验证竞业限制期限相关召回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竞业限制的最长期限是多久？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《劳动合同法》第 24 条第 2 款（最长 2 年）；2. 《最高人民法院关于审理劳动争议案件适用法律问题的解释（一）》第 37 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召回文档命中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2"/>
      </w:pPr>
      <w:r>
        <w:t xml:space="preserve">RAG 检索测试统计指标（论文直接可用）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指标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计算公式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数值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Top-1 召回率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Top-1 命中检查点的用例数 ÷ 总测试用例数（30 组）× 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Top-3 召回率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Top-3 内命中检查点的用例数 ÷ 总测试用例数（30 组）× 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法条引用正确率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正确引用法条的用例数 ÷ 总测试用例数（30 组）× 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幻觉率（引用不存在法条）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出现幻觉引用（引用不存在 / 失效法条）的用例数 ÷ 总测试用例数（30 组）× 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平均召回文档相关性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每组用例 Top-3 召回文档中相关文档数的平均值（满分 3 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2026-05-13T09:23:50.957Z</dcterms:created>
  <dcterms:modified xsi:type="dcterms:W3CDTF">2026-05-13T09:23:50.957Z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