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figs-nominaladj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translate\figs-nominaladj\01.md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Description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some languages an adjective can be used to refer to a class of things that the adjective describes. When it does, it acts like a noun. For example, the word “rich” is an adjective. Here are two sentences that show that “rich” is an adjective.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**The rich man** had huge numbers of flocks and herds. (2 Samuel 12:2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The adjective “rich” comes before the word “man” and describes “man.”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**He will not be rich**; his wealth will not last. (Job 15:29a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The adjective “rich” comes after the verb “be” and describes “He.”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Here is a sentence that shows that “rich” can also function as a noun.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**The rich** must not give more than the half shekel, and **the poor** must not give less. (Exodus 30:15b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Exodus 30:15, the word “rich” acts as a noun in the phrase “the rich,” and it refers to rich people. The word “poor” also acts as a noun and refers to poor people.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Reason This Is a Translation Issue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Many times in the Bible adjectives are used as nouns to describe a group of people.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Some languages do not use adjectives in this way.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Readers of these languages may think that the text is talking about one particular person when it is really talking about the group of people whom the adjective describes.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From the Bible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 scepter of wickedness must not rule in the land of **the righteous**. (Psalms 125:3a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“The righteous” here are people who are righteous, not one particular righteous person.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Blessed are **the meek**. (Matthew 5:5a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“The meek” here are all people who are meek, not one particular meek person.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Translation Strategies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If your language uses adjectives as nouns to refer to a class of people, consider using the adjectives in this way. If it would sound strange, or if the meaning would be unclear or wrong, here is another option: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Use the adjective with a plural form of the noun that the adjective describes.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of Translation Strategies Applied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Use the adjective with a plural form of the noun that the adjective describes.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 scepter of wickedness must not rule in the land of **the righteous**. (Psalms 125:3a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The scepter of wickedness must not rule in the land of **righteous people**.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Blessed are **the meek**. (Matthew 5:5a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Blessed are **people who are meek**.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translate\figs-nominaladj\sub-title.md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How do I translate adjectives that act like nouns?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translate\figs-nominaladj\title.md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Nominal Adjectives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