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t>SecureCoating-Vision: Evidence-Gated Multimodal AI for Battery Electrode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 07 / 09 / 2026</w:t>
      </w:r>
      <w:r w:rsidR="00020B95">
        <w:rPr>
          <w:rFonts w:ascii="Times New Roman" w:hAnsi="Times New Roman" w:cs="Times New Roman"/>
          <w:sz w:val="28"/>
          <w:szCs w:val="28"/>
        </w:rPr>
      </w:r>
      <w:r w:rsidR="00C95F2A">
        <w:rPr>
          <w:rFonts w:ascii="Times New Roman" w:hAnsi="Times New Roman" w:cs="Times New Roman"/>
          <w:sz w:val="28"/>
          <w:szCs w:val="28"/>
        </w:rPr>
      </w:r>
      <w:r w:rsidRPr="00337E47">
        <w:rPr>
          <w:rFonts w:ascii="Times New Roman" w:hAnsi="Times New Roman" w:cs="Times New Roman"/>
          <w:sz w:val="28"/>
          <w:szCs w:val="28"/>
        </w:rPr>
      </w:r>
      <w:r w:rsidR="00341585">
        <w:rPr>
          <w:rFonts w:ascii="Times New Roman" w:hAnsi="Times New Roman" w:cs="Times New Roman"/>
          <w:sz w:val="28"/>
          <w:szCs w:val="28"/>
        </w:rPr>
      </w:r>
      <w:r w:rsidR="00C95F2A">
        <w:rPr>
          <w:rFonts w:ascii="Times New Roman" w:hAnsi="Times New Roman" w:cs="Times New Roman"/>
          <w:sz w:val="28"/>
          <w:szCs w:val="28"/>
        </w:rPr>
      </w:r>
      <w:r w:rsidRPr="00337E47">
        <w:rPr>
          <w:rFonts w:ascii="Times New Roman" w:hAnsi="Times New Roman" w:cs="Times New Roman"/>
          <w:sz w:val="28"/>
          <w:szCs w:val="28"/>
        </w:rPr>
      </w:r>
      <w:r w:rsidR="00341585">
        <w:rPr>
          <w:rFonts w:ascii="Times New Roman" w:hAnsi="Times New Roman" w:cs="Times New Roman"/>
          <w:sz w:val="28"/>
          <w:szCs w:val="28"/>
        </w:rPr>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r>
          </w:p>
          <w:p/>
          <w:p>
            <w: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p>
          <w:p/>
          <w:p>
            <w: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The LIBAD lane extends validation of the same battery-electrode inspection and quality-decision problem.</w:t>
            </w:r>
          </w:p>
          <w:p/>
          <w:p>
            <w: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SecureCoating covers the inspection-to-quality-decision segment of an autonomous materials characterization pipeline; material/electrochemical performance prediction is the next validation stage once plant-linked property labels exist. SecureCoating covers the inspection-to-quality-decision segment of an autonomous materials characterization pipeline; material/electrochemical performance prediction is the next validation stage once plant-linked property labels exist. SecureCoating covers the inspection-to-quality-decision segment of an autonomous materials characterization pipeline; material/electrochemical performance prediction is the next validation stage once plant-linked property labels exist. The repository does not claim factory qualification or production performance.</w:t>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r>
          </w:p>
          <w:p/>
          <w:p>
            <w: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HMAC-SHA256 authenticated traceability tags, and OPC UA/Modbus adapters expose explicit command and acknowledgement contracts.</w:t>
            </w:r>
          </w:p>
          <w:p/>
          <w:p>
            <w: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r>
          </w:p>
          <w:p/>
          <w:p>
            <w: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3、Key Innovations &amp; Unique Features</w:t>
            </w:r>
          </w:p>
          <w:p/>
          <w:p>
            <w: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r>
          </w:p>
          <w:p/>
          <w:p>
            <w:r>
              <w:t>Traceable Inspection Memory: Each inspection is associated with an active roll and batch, claims a unique (batch_id, part_id), remains PENDING until the final gate outcome is known, and can be represented in an HMAC-SHA256 authenticated certificate snapshot.</w:t>
            </w:r>
          </w:p>
          <w:p/>
          <w:p>
            <w:r>
              <w:t>Reproducible Evaluation Boundaries: The evaluation engine validates immutable dataset manifests, records split provenance, and enforces consistent metric semantics. Independent roll-disjoint evidence remains a required gate for factory qualification.</w:t>
            </w:r>
          </w:p>
          <w:p/>
          <w:p>
            <w: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r>
          </w:p>
          <w:p/>
          <w:p>
            <w: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p>
          <w:p/>
          <w:p>
            <w: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r>
          </w:p>
          <w:p/>
          <w:p>
            <w:r>
              <w:t>Next Validation Steps: Obtain an independent roll-disjoint factory dataset; complete PLC/HIL, plant calibration, and safety testing; pursue authors' DINOv3/DA-Core validation only if paper-comparable LIBAD benchmarking is required; and treat downstream material/electrochemical performance prediction as future validation, not a current defense claim.</w:t>
            </w:r>
          </w:p>
          <w:p/>
          <w:p>
            <w:r>
              <w:t>Advisor / 指导老师: Prof. Kris Singh — Visiting Professor, Tsinghua University; Founder &amp; CEO, SRII. Advisory scope: innovation, industrialization, and final-defense guidance.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361"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928"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814"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701"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835"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361" w:type="dxa"/>
                  <w:vAlign w:val="center"/>
                </w:tcPr>
                <w:p w14:paraId="735228E4" w14:textId="77777777" w:rsidR="00461DDA" w:rsidRPr="009A5076" w:rsidRDefault="00461DDA" w:rsidP="00DE6917">
                  <w:pPr>
                    <w:jc w:val="center"/>
                    <w:rPr>
                      <w:rFonts w:ascii="Times New Roman" w:hAnsi="Times New Roman" w:cs="Times New Roman"/>
                      <w:szCs w:val="20"/>
                    </w:rPr>
                  </w:pPr>
                  <w:r>
                    <w:t>Team Leader</w:t>
                  </w:r>
                </w:p>
              </w:tc>
              <w:tc>
                <w:tcPr>
                  <w:tcW w:w="1928" w:type="dxa"/>
                  <w:vAlign w:val="center"/>
                </w:tcPr>
                <w:p w14:paraId="31F7A58B" w14:textId="77777777" w:rsidR="00461DDA" w:rsidRPr="009A5076" w:rsidRDefault="00461DDA" w:rsidP="00DE6917">
                  <w:pPr>
                    <w:jc w:val="center"/>
                    <w:rPr>
                      <w:rFonts w:ascii="Times New Roman" w:hAnsi="Times New Roman" w:cs="Times New Roman"/>
                      <w:szCs w:val="20"/>
                    </w:rPr>
                  </w:pPr>
                  <w:r>
                    <w:t>Trịnh Hoàng Tú</w:t>
                  </w:r>
                </w:p>
              </w:tc>
              <w:tc>
                <w:tcPr>
                  <w:tcW w:w="1814" w:type="dxa"/>
                  <w:vAlign w:val="center"/>
                </w:tcPr>
                <w:p w14:paraId="0496A2F0" w14:textId="77777777" w:rsidR="00461DDA" w:rsidRPr="009A5076" w:rsidRDefault="00461DDA" w:rsidP="00DE6917">
                  <w:pPr>
                    <w:jc w:val="center"/>
                    <w:rPr>
                      <w:rFonts w:ascii="Times New Roman" w:hAnsi="Times New Roman" w:cs="Times New Roman"/>
                      <w:szCs w:val="20"/>
                    </w:rPr>
                  </w:pPr>
                  <w:r>
                    <w:t>HUFLIT</w:t>
                  </w:r>
                </w:p>
              </w:tc>
              <w:tc>
                <w:tcPr>
                  <w:tcW w:w="1701" w:type="dxa"/>
                  <w:vAlign w:val="center"/>
                </w:tcPr>
                <w:p w14:paraId="21F571B5" w14:textId="77777777" w:rsidR="00461DDA" w:rsidRPr="009A5076" w:rsidRDefault="00461DDA" w:rsidP="00DE6917">
                  <w:pPr>
                    <w:jc w:val="center"/>
                    <w:rPr>
                      <w:rFonts w:ascii="Times New Roman" w:hAnsi="Times New Roman" w:cs="Times New Roman"/>
                      <w:szCs w:val="20"/>
                    </w:rPr>
                  </w:pPr>
                  <w:r>
                    <w:t>+84 983967098</w:t>
                  </w:r>
                </w:p>
              </w:tc>
              <w:tc>
                <w:tcPr>
                  <w:tcW w:w="2835" w:type="dxa"/>
                  <w:vAlign w:val="center"/>
                </w:tcPr>
                <w:p w14:paraId="60180026" w14:textId="77777777" w:rsidR="00461DDA" w:rsidRPr="009A5076" w:rsidRDefault="00461DDA" w:rsidP="00DE6917">
                  <w:pPr>
                    <w:jc w:val="center"/>
                    <w:rPr>
                      <w:rFonts w:ascii="Times New Roman" w:hAnsi="Times New Roman" w:cs="Times New Roman"/>
                      <w:szCs w:val="20"/>
                    </w:rPr>
                  </w:pPr>
                  <w:r>
                    <w:t>tht.csec2005@gmail.com</w:t>
                  </w:r>
                </w:p>
              </w:tc>
            </w:tr>
            <w:tr w:rsidR="00461DDA" w:rsidRPr="00370FE4" w14:paraId="00F3F262" w14:textId="77777777" w:rsidTr="00DE6917">
              <w:trPr>
                <w:jc w:val="center"/>
              </w:trPr>
              <w:tc>
                <w:tcPr>
                  <w:tcW w:w="1361"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t>Team Member</w:t>
                  </w:r>
                </w:p>
              </w:tc>
              <w:tc>
                <w:tcPr>
                  <w:tcW w:w="1928" w:type="dxa"/>
                  <w:vAlign w:val="center"/>
                </w:tcPr>
                <w:p w14:paraId="6F712B21" w14:textId="77777777" w:rsidR="00461DDA" w:rsidRPr="009A5076" w:rsidRDefault="006A5AF2" w:rsidP="00DE6917">
                  <w:pPr>
                    <w:jc w:val="center"/>
                    <w:rPr>
                      <w:rFonts w:ascii="Times New Roman" w:hAnsi="Times New Roman" w:cs="Times New Roman"/>
                      <w:szCs w:val="20"/>
                    </w:rPr>
                  </w:pPr>
                  <w:r/>
                </w:p>
              </w:tc>
              <w:tc>
                <w:tcPr>
                  <w:tcW w:w="1814" w:type="dxa"/>
                  <w:vAlign w:val="center"/>
                </w:tcPr>
                <w:p w14:paraId="63907F0E" w14:textId="77777777" w:rsidR="00461DDA" w:rsidRPr="009A5076" w:rsidRDefault="006A5AF2" w:rsidP="00DE6917">
                  <w:pPr>
                    <w:jc w:val="center"/>
                    <w:rPr>
                      <w:rFonts w:ascii="Times New Roman" w:hAnsi="Times New Roman" w:cs="Times New Roman"/>
                      <w:szCs w:val="20"/>
                    </w:rPr>
                  </w:pPr>
                  <w:r/>
                </w:p>
              </w:tc>
              <w:tc>
                <w:tcPr>
                  <w:tcW w:w="1701" w:type="dxa"/>
                  <w:vAlign w:val="center"/>
                </w:tcPr>
                <w:p w14:paraId="396735D8" w14:textId="77777777" w:rsidR="00461DDA" w:rsidRPr="009A5076" w:rsidRDefault="00461DDA" w:rsidP="00DE6917">
                  <w:pPr>
                    <w:jc w:val="center"/>
                    <w:rPr>
                      <w:rFonts w:ascii="Times New Roman" w:hAnsi="Times New Roman" w:cs="Times New Roman"/>
                      <w:szCs w:val="20"/>
                    </w:rPr>
                  </w:pPr>
                  <w:r/>
                </w:p>
              </w:tc>
              <w:tc>
                <w:tcPr>
                  <w:tcW w:w="2835" w:type="dxa"/>
                  <w:vAlign w:val="center"/>
                </w:tcPr>
                <w:p w14:paraId="47897FAD" w14:textId="77777777" w:rsidR="00461DDA" w:rsidRPr="009A5076" w:rsidRDefault="006A5AF2" w:rsidP="00DE6917">
                  <w:pPr>
                    <w:jc w:val="center"/>
                    <w:rPr>
                      <w:rFonts w:ascii="Times New Roman" w:hAnsi="Times New Roman" w:cs="Times New Roman"/>
                      <w:szCs w:val="20"/>
                    </w:rPr>
                  </w:pPr>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928" w:type="dxa"/>
                  <w:vAlign w:val="center"/>
                </w:tcPr>
                <w:p w14:paraId="6B15F361" w14:textId="77777777" w:rsidR="00461DDA" w:rsidRPr="009A5076" w:rsidRDefault="00461DDA" w:rsidP="00DE6917">
                  <w:pPr>
                    <w:jc w:val="center"/>
                    <w:rPr>
                      <w:rFonts w:ascii="Times New Roman" w:hAnsi="Times New Roman" w:cs="Times New Roman"/>
                      <w:b/>
                      <w:szCs w:val="20"/>
                    </w:rPr>
                  </w:pPr>
                  <w:r/>
                </w:p>
              </w:tc>
              <w:tc>
                <w:tcPr>
                  <w:tcW w:w="1814" w:type="dxa"/>
                  <w:vAlign w:val="center"/>
                </w:tcPr>
                <w:p w14:paraId="4426AF0F" w14:textId="77777777" w:rsidR="00461DDA" w:rsidRPr="009A5076" w:rsidRDefault="00461DDA" w:rsidP="00DE6917">
                  <w:pPr>
                    <w:jc w:val="center"/>
                    <w:rPr>
                      <w:rFonts w:ascii="Times New Roman" w:hAnsi="Times New Roman" w:cs="Times New Roman"/>
                      <w:b/>
                      <w:szCs w:val="20"/>
                    </w:rPr>
                  </w:pPr>
                  <w:r/>
                </w:p>
              </w:tc>
              <w:tc>
                <w:tcPr>
                  <w:tcW w:w="1701" w:type="dxa"/>
                  <w:vAlign w:val="center"/>
                </w:tcPr>
                <w:p w14:paraId="1B16BA61" w14:textId="77777777" w:rsidR="00461DDA" w:rsidRPr="009A5076" w:rsidRDefault="00461DDA" w:rsidP="00DE6917">
                  <w:pPr>
                    <w:jc w:val="center"/>
                    <w:rPr>
                      <w:rFonts w:ascii="Times New Roman" w:hAnsi="Times New Roman" w:cs="Times New Roman"/>
                      <w:b/>
                      <w:szCs w:val="20"/>
                    </w:rPr>
                  </w:pPr>
                  <w:r/>
                </w:p>
              </w:tc>
              <w:tc>
                <w:tcPr>
                  <w:tcW w:w="2835" w:type="dxa"/>
                  <w:vAlign w:val="center"/>
                </w:tcPr>
                <w:p w14:paraId="51F8CC3E" w14:textId="77777777" w:rsidR="00461DDA" w:rsidRPr="009A5076" w:rsidRDefault="00461DDA" w:rsidP="00DE6917">
                  <w:pPr>
                    <w:jc w:val="center"/>
                    <w:rPr>
                      <w:rFonts w:ascii="Times New Roman" w:hAnsi="Times New Roman" w:cs="Times New Roman"/>
                      <w:b/>
                      <w:szCs w:val="20"/>
                    </w:rPr>
                  </w:pPr>
                  <w: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928" w:type="dxa"/>
                  <w:vAlign w:val="center"/>
                </w:tcPr>
                <w:p w14:paraId="5986E67B" w14:textId="77777777" w:rsidR="00461DDA" w:rsidRPr="00370FE4" w:rsidRDefault="00461DDA" w:rsidP="00DE6917">
                  <w:pPr>
                    <w:jc w:val="center"/>
                    <w:rPr>
                      <w:rFonts w:ascii="Times New Roman" w:hAnsi="Times New Roman" w:cs="Times New Roman"/>
                      <w:b/>
                      <w:sz w:val="24"/>
                      <w:szCs w:val="24"/>
                    </w:rPr>
                  </w:pPr>
                  <w:r/>
                </w:p>
              </w:tc>
              <w:tc>
                <w:tcPr>
                  <w:tcW w:w="1814" w:type="dxa"/>
                  <w:vAlign w:val="center"/>
                </w:tcPr>
                <w:p w14:paraId="2744F000" w14:textId="77777777" w:rsidR="00461DDA" w:rsidRPr="00370FE4" w:rsidRDefault="00461DDA" w:rsidP="00DE6917">
                  <w:pPr>
                    <w:jc w:val="center"/>
                    <w:rPr>
                      <w:rFonts w:ascii="Times New Roman" w:hAnsi="Times New Roman" w:cs="Times New Roman"/>
                      <w:b/>
                      <w:sz w:val="24"/>
                      <w:szCs w:val="24"/>
                    </w:rPr>
                  </w:pPr>
                  <w:r/>
                </w:p>
              </w:tc>
              <w:tc>
                <w:tcPr>
                  <w:tcW w:w="1701" w:type="dxa"/>
                  <w:vAlign w:val="center"/>
                </w:tcPr>
                <w:p w14:paraId="1AB7F862" w14:textId="77777777" w:rsidR="00461DDA" w:rsidRPr="00370FE4" w:rsidRDefault="00461DDA" w:rsidP="00DE6917">
                  <w:pPr>
                    <w:jc w:val="center"/>
                    <w:rPr>
                      <w:rFonts w:ascii="Times New Roman" w:hAnsi="Times New Roman" w:cs="Times New Roman"/>
                      <w:b/>
                      <w:sz w:val="24"/>
                      <w:szCs w:val="24"/>
                    </w:rPr>
                  </w:pPr>
                  <w:r/>
                </w:p>
              </w:tc>
              <w:tc>
                <w:tcPr>
                  <w:tcW w:w="2835" w:type="dxa"/>
                  <w:vAlign w:val="center"/>
                </w:tcPr>
                <w:p w14:paraId="1EC08CEA" w14:textId="77777777" w:rsidR="00461DDA" w:rsidRPr="00370FE4" w:rsidRDefault="00461DDA" w:rsidP="00DE6917">
                  <w:pPr>
                    <w:jc w:val="center"/>
                    <w:rPr>
                      <w:rFonts w:ascii="Times New Roman" w:hAnsi="Times New Roman" w:cs="Times New Roman"/>
                      <w:b/>
                      <w:sz w:val="24"/>
                      <w:szCs w:val="24"/>
                    </w:rPr>
                  </w:pPr>
                  <w:r/>
                </w:p>
              </w:tc>
            </w:tr>
          </w:tbl>
          <w:p/>
          <w:p>
            <w:r/>
          </w:p>
          <w:p>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 Materials Competition Application Form — Team 71</dc:title>
  <dc:subject>Track 4 submission — SecureCoating-Vision</dc:subject>
  <dc:creator>Trinh Hoang Tu</dc:creator>
  <cp:keywords/>
  <dc:description/>
  <cp:lastModifiedBy>Trinh Hoang Tu</cp:lastModifiedBy>
  <cp:revision>67</cp:revision>
  <dcterms:created xsi:type="dcterms:W3CDTF">2026-04-23T07:51:00Z</dcterms:created>
  <dcterms:modified xsi:type="dcterms:W3CDTF">2026-08-27T14:59:00Z</dcterms:modified>
</cp:coreProperties>
</file>