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b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br/>
              <w:b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br/>
              <w:b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r/>
            <w:r/>
            <w:r/>
            <w:r/>
            <w:r/>
            <w:r/>
            <w:r/>
            <w:r/>
            <w:r/>
            <w:r/>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br/>
              <w:b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canonical HMAC-SHA256 payloads, and OPC UA/Modbus adapters expose explicit command and acknowledgement contracts.</w:t>
              <w:br/>
              <w:b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b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r/>
            <w:r/>
            <w:r/>
            <w:r/>
            <w:r/>
            <w:r/>
            <w:r/>
            <w:r/>
            <w:r/>
            <w:r/>
            <w:r/>
          </w:p>
        </w:tc>
      </w:tr>
      <w:tr w:rsidR="009E4586" w:rsidRPr="00370FE4" w14:paraId="1183F5A9" w14:textId="77777777" w:rsidTr="009E4586">
        <w:tc>
          <w:tcPr>
            <w:tcW w:w="8296" w:type="dxa"/>
          </w:tcPr>
          <w:p w14:paraId="1F3363AF" w14:textId="77777777" w:rsidR="00A47DBB" w:rsidRDefault="00000000">
            <w:r>
              <w:t>3、Key Innovations &amp; Unique Features</w:t>
              <w:br/>
              <w:b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br/>
              <w:br/>
              <w:t>Traceable Inspection Memory: Each inspection is associated with an active roll and batch, claims a unique (batch_id, part_id), remains PENDING until the final gate outcome is known, and can be represented in a signed certificate snapshot.</w:t>
              <w:br/>
              <w:br/>
              <w:t>Reproducible Evaluation Boundaries: The evaluation engine validates immutable dataset manifests, records split provenance, and enforces consistent metric semantics. Independent roll-disjoint evidence remains a required gate for factory qualification.</w:t>
              <w:br/>
              <w:b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r>
          </w:p>
          <w:p/>
          <w:p>
            <w: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p>
            <w: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p>
            <w:r>
              <w:t>Next Validation Steps: Obtain an independent roll-disjoint dataset, hash-verify official LIBAD, complete PLC/HIL and safety testing, validate factory calibration, and publish only measurements supported by immutable evidence.</w:t>
            </w:r>
          </w:p>
          <w:p/>
          <w:p>
            <w:r>
              <w:t>Advisor / 指导老师: Prof. Kris Singh — Visiting Professor, Tsinghua University; Founder &amp; CEO, SRII. Advisory scope: innovation, industrialization, and final-defense guidance.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p>
            <w:r>
              <w:t>Team Leader — Trịnh Hoàng Tú</w:t>
            </w:r>
          </w:p>
          <w:p>
            <w:r>
              <w:t>Team Member — N/A</w:t>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