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p w14:paraId="2CF2BD94" w14:textId="77777777" w:rsidR="001E23D2" w:rsidRDefault="001E23D2" w:rsidP="0043707D">
      <w:pPr>
        <w:rPr>
          <w:rFonts w:ascii="Times New Roman" w:eastAsia="STXingkai" w:hAnsi="Times New Roman" w:cs="Times New Roman"/>
          <w:sz w:val="40"/>
        </w:rPr>
      </w:pPr>
    </w:p>
    <w:p w14:paraId="775FA91C" w14:textId="77777777" w:rsidR="00341585" w:rsidRPr="00370FE4" w:rsidRDefault="00341585" w:rsidP="0043707D">
      <w:pPr>
        <w:rPr>
          <w:rFonts w:ascii="Times New Roman" w:eastAsia="STXingkai" w:hAnsi="Times New Roman" w:cs="Times New Roman"/>
          <w:sz w:val="4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High-Throughput and Zero-Trust Edge-Cloud Pipeline for Inline Battery Electrode Defect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0DF6AAF7" w14:textId="77777777" w:rsidR="00337E47" w:rsidRPr="00370FE4" w:rsidRDefault="00337E47" w:rsidP="0043707D">
      <w:pPr>
        <w:jc w:val="left"/>
        <w:rPr>
          <w:rFonts w:ascii="Times New Roman" w:eastAsia="STXingkai" w:hAnsi="Times New Roman" w:cs="Times New Roman"/>
          <w:sz w:val="40"/>
        </w:rPr>
      </w:pPr>
    </w:p>
    <w:p w14:paraId="4B096FB1" w14:textId="77777777" w:rsidR="00E560CD" w:rsidRDefault="00E560CD" w:rsidP="0043707D">
      <w:pPr>
        <w:jc w:val="left"/>
        <w:rPr>
          <w:rFonts w:ascii="Times New Roman" w:eastAsia="STXingkai" w:hAnsi="Times New Roman" w:cs="Times New Roman"/>
          <w:sz w:val="40"/>
        </w:rPr>
      </w:pPr>
    </w:p>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sectPr w:rsidR="00884B78" w:rsidRPr="008B2F89">
          <w:pgSz w:w="11906" w:h="16838"/>
          <w:pgMar w:top="1440" w:right="1800" w:bottom="1440" w:left="1800" w:header="851" w:footer="992" w:gutter="0"/>
          <w:cols w:space="425"/>
          <w:docGrid w:type="lines" w:linePitch="312"/>
        </w:sect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C95F2A">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C95F2A">
        <w:rPr>
          <w:rFonts w:ascii="Times New Roman" w:hAnsi="Times New Roman" w:cs="Times New Roman"/>
          <w:sz w:val="28"/>
          <w:szCs w:val="28"/>
        </w:rPr>
        <w:t>8</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lastRenderedPageBreak/>
              <w:t>1</w:t>
            </w:r>
            <w:r>
              <w:t>、</w:t>
            </w:r>
            <w:r>
              <w:t>Project Overview</w:t>
            </w:r>
            <w:r>
              <w:t>（</w:t>
            </w:r>
            <w:r>
              <w:t>e.g., background, state of the art, project objectives, key competitive advantages, etc.</w:t>
            </w:r>
            <w:r>
              <w:t>）</w:t>
            </w:r>
            <w:r>
              <w:br/>
            </w:r>
            <w:r>
              <w:b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r>
            <w:r>
              <w:br/>
            </w:r>
            <w:r>
              <w:br/>
              <w:t>Project Objectives: SecureCoating-Vision is a research prototype for non-destructive coating-defect inspection. It connects RGB segmentation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This is a validation extension, not a change of topic.</w:t>
            </w:r>
            <w:r>
              <w:br/>
            </w:r>
            <w:r>
              <w:br/>
              <w:t>Current Competitive Advantage: The implementation emphasizes evidence and failure behavior around a conventional YOLOv8-seg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p>
        </w:tc>
      </w:tr>
      <w:tr w:rsidR="009E4586" w:rsidRPr="00370FE4" w14:paraId="593346E3" w14:textId="77777777" w:rsidTr="009E4586">
        <w:tc>
          <w:tcPr>
            <w:tcW w:w="8296" w:type="dxa"/>
          </w:tcPr>
          <w:p w14:paraId="366EF17E" w14:textId="77777777" w:rsidR="00A47DBB" w:rsidRDefault="00000000">
            <w:r>
              <w:t>2</w:t>
            </w:r>
            <w:r>
              <w:t>、</w:t>
            </w:r>
            <w:r>
              <w:t>Project Plan</w:t>
            </w:r>
            <w:r>
              <w:t>（</w:t>
            </w:r>
            <w:r>
              <w:t>e.g., technical approach, main features/functionalities, project deliverables/outputs, etc.</w:t>
            </w:r>
            <w:r>
              <w:t>）</w:t>
            </w:r>
            <w:r>
              <w:br/>
            </w:r>
            <w:r>
              <w:br/>
              <w:t>Technical Approach: The current prototype runs an RGB YOLOv8-seg inference path locally. Thermal and height streams are simulated or injected interface adapters for registration, metrology, and degraded-mode testing; they are not plant-instrument measurements. After that software-and-safety contract, we added a LIBAD validation extension on real aligned visible-light and inline-compatible X-rayL electrode patches. DA-Core remains the LIBAD authors baseline; SecureCoating-Vision adds the evidence-gated PASS/REJECT/HOLD layer. The API applies readiness and fail-closed checks before issuing a decision. Traceability records are written to SQLite, certificates use canonical HMAC-SHA256 payloads, and OPC UA/Modbus adapters expose explicit command and acknowledgement contracts.</w:t>
            </w:r>
            <w:r>
              <w:br/>
            </w:r>
            <w:r>
              <w:br/>
              <w:t>Main Features/Functionalities: Defect segmentation for the configured coating classes; calibrated coordinate mapping when an approved calibration artifact is supplied; roll/batch and part identity controls; PASS/REJECT/HOLD state handling; bounded uploads and inference concurrency; API-authoritative read-only dashboard telemetry; and hash-verified evaluation/evidence tooling.</w:t>
            </w:r>
            <w:r>
              <w:br/>
            </w:r>
            <w:r>
              <w:b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1183F5A9" w14:textId="77777777" w:rsidTr="009E4586">
        <w:tc>
          <w:tcPr>
            <w:tcW w:w="8296" w:type="dxa"/>
          </w:tcPr>
          <w:p w14:paraId="1F3363AF" w14:textId="77777777" w:rsidR="00A47DBB" w:rsidRDefault="00000000">
            <w:r>
              <w:t>3</w:t>
            </w:r>
            <w:r>
              <w:t>、</w:t>
            </w:r>
            <w:r>
              <w:t>Key Innovations &amp; Unique Features</w:t>
            </w:r>
            <w:r>
              <w:br/>
            </w:r>
            <w:r>
              <w:br/>
              <w:t xml:space="preserve">Evidence-Gated Quality Decisions: The system separates model output from release authority. Missing sensors, invalid calibration, inference faults, traceability faults, stale or unconfirmed </w:t>
            </w:r>
            <w:r>
              <w:lastRenderedPageBreak/>
              <w:t>industrial communication, and latched interlocks produce HOLD rather than an inferred PASS.</w:t>
            </w:r>
            <w:r>
              <w:br/>
            </w:r>
            <w:r>
              <w:br/>
              <w:t>Traceable Inspection Memory: Each inspection is associated with an active roll and batch, claims a unique (batch_id, part_id), remains PENDING until the final gate outcome is known, and can be represented in a signed certificate snapshot.</w:t>
            </w:r>
            <w:r>
              <w:br/>
            </w:r>
            <w:r>
              <w:br/>
              <w:t>Reproducible Evaluation Boundaries: The evaluation engine validates artifact hashes, requires an immutable roll-disjoint manifest, uses one instance-matching policy for box and mask metrics, and records model, dataset, manifest, and source-commit provenance.</w:t>
            </w:r>
            <w:r>
              <w:br/>
            </w:r>
            <w:r>
              <w:br/>
              <w:t>Practical Deployment Boundary: The dashboard is read-only and API-authoritative.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w:t>
            </w:r>
            <w:r>
              <w:t>、</w:t>
            </w:r>
            <w:r>
              <w:t>Additional Information</w:t>
            </w:r>
            <w:r>
              <w:t>（</w:t>
            </w:r>
            <w:r>
              <w:t>e.g., R&amp;D process, lessons learned, etc.</w:t>
            </w:r>
            <w:r>
              <w:t>）</w:t>
            </w:r>
            <w:r>
              <w:br/>
            </w:r>
            <w:r>
              <w:lastRenderedPageBreak/>
              <w:b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current repository records 85 passing tests with no skips in the latest documented validation, but local simulation is not hardware evidence.</w:t>
            </w:r>
            <w:r>
              <w:br/>
            </w:r>
            <w:r>
              <w:b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YOLO11 remains a candidate experiment, not a claimed upgrade.</w:t>
            </w:r>
            <w:r>
              <w:br/>
            </w:r>
            <w:r>
              <w:br/>
              <w:t>Next Validation Steps: Obtain an independent roll-disjoint dataset, run a controlled YOLOv8n versus YOLO11n/YOLO11s comparison, complete PLC/HIL and safety testing, validate factory calibration, and publish only measurements supported by immutable evidence.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rsidRPr="000D6E58">
              <w:rPr>
                <w:rFonts w:ascii="Times New Roman" w:eastAsia="SimHei" w:hAnsi="Times New Roman" w:cs="Times New Roman"/>
                <w:b/>
                <w:bCs/>
                <w:sz w:val="24"/>
              </w:rPr>
              <w:lastRenderedPageBreak/>
              <w:t>7</w:t>
            </w:r>
            <w:r w:rsidRPr="000D6E58">
              <w:rPr>
                <w:rFonts w:ascii="Times New Roman" w:eastAsia="SimHei" w:hAnsi="Times New Roman" w:cs="Times New Roman"/>
                <w:b/>
                <w:bCs/>
                <w:sz w:val="24"/>
              </w:rPr>
              <w:t>、</w:t>
            </w:r>
            <w:r w:rsidRPr="000D6E58">
              <w:rPr>
                <w:rFonts w:ascii="Times New Roman" w:eastAsia="SimHei" w:hAnsi="Times New Roman" w:cs="Times New Roman"/>
                <w:b/>
                <w:bCs/>
                <w:sz w:val="24"/>
              </w:rPr>
              <w:t>Team Member Information</w:t>
            </w:r>
          </w:p>
          <w:p w14:paraId="73341B16" w14:textId="77777777" w:rsidR="00461DDA" w:rsidRPr="00370FE4" w:rsidRDefault="00461DDA" w:rsidP="00DE6917">
            <w:pPr>
              <w:jc w:val="left"/>
              <w:rPr>
                <w:rFonts w:ascii="Times New Roman" w:hAnsi="Times New Roman" w:cs="Times New Roman"/>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Founder and CEO, SRII; Visiting Professor, Tsinghua University</w:t>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p>
              </w:tc>
            </w:tr>
          </w:tbl>
          <w:p w14:paraId="5335658E" w14:textId="77777777" w:rsidR="00461DDA" w:rsidRPr="00370FE4" w:rsidRDefault="00461DDA" w:rsidP="00DE6917">
            <w:pPr>
              <w:jc w:val="left"/>
              <w:rPr>
                <w:rFonts w:ascii="Times New Roman" w:hAnsi="Times New Roman" w:cs="Times New Roman"/>
                <w:sz w:val="24"/>
              </w:rPr>
            </w:pPr>
          </w:p>
          <w:p w14:paraId="4285D340" w14:textId="77777777" w:rsidR="00461DDA" w:rsidRPr="00370FE4" w:rsidRDefault="00461DDA" w:rsidP="00DE6917">
            <w:pPr>
              <w:jc w:val="left"/>
              <w:rPr>
                <w:rFonts w:ascii="Times New Roman" w:hAnsi="Times New Roman" w:cs="Times New Roman"/>
                <w:sz w:val="24"/>
              </w:rPr>
            </w:pPr>
          </w:p>
        </w:tc>
      </w:tr>
      <w:tr w:rsidR="008829DA" w:rsidRPr="00370FE4" w14:paraId="5F4DF1F5" w14:textId="77777777" w:rsidTr="009E4586">
        <w:tc>
          <w:tcPr>
            <w:tcW w:w="8296" w:type="dxa"/>
          </w:tcPr>
          <w:p w14:paraId="3A9ACA41" w14:textId="77777777" w:rsidR="00BF1034" w:rsidRDefault="00BF1034"/>
        </w:tc>
      </w:tr>
    </w:tbl>
    <w:p w14:paraId="4C4835BF" w14:textId="77777777" w:rsidR="003105E9" w:rsidRDefault="003105E9" w:rsidP="0043707D">
      <w:pPr>
        <w:jc w:val="left"/>
        <w:rPr>
          <w:rFonts w:asciiTheme="minorEastAsia" w:hAnsiTheme="minorEastAsia"/>
          <w:sz w:val="24"/>
        </w:rPr>
      </w:pPr>
    </w:p>
    <w:p w14:paraId="0942AFE4" w14:textId="77777777" w:rsidR="003105E9" w:rsidRPr="008829DA" w:rsidRDefault="003105E9" w:rsidP="0043707D">
      <w:pPr>
        <w:jc w:val="left"/>
        <w:rPr>
          <w:rFonts w:asciiTheme="minorEastAsia" w:hAnsiTheme="minorEastAsia"/>
          <w:sz w:val="24"/>
        </w:rPr>
      </w:pPr>
    </w:p>
    <w:sectPr w:rsidR="003105E9" w:rsidRPr="008829D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