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t>SecureCoating-Vision: Evidence-Gated Multimodal AI for Battery Electrode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pPr>
      <w:r w:rsidRPr="00337E47">
        <w:rPr>
          <w:rFonts w:ascii="Times New Roman" w:hAnsi="Times New Roman" w:cs="Times New Roman"/>
          <w:sz w:val="28"/>
          <w:szCs w:val="28"/>
        </w:rPr>
        <w:t>Date: 07 / 09 / 2026</w:t>
      </w:r>
      <w:r w:rsidR="00020B95">
        <w:rPr>
          <w:rFonts w:ascii="Times New Roman" w:hAnsi="Times New Roman" w:cs="Times New Roman"/>
          <w:sz w:val="28"/>
          <w:szCs w:val="28"/>
        </w:rPr>
      </w:r>
      <w:r w:rsidR="00C95F2A">
        <w:rPr>
          <w:rFonts w:ascii="Times New Roman" w:hAnsi="Times New Roman" w:cs="Times New Roman"/>
          <w:sz w:val="28"/>
          <w:szCs w:val="28"/>
        </w:rPr>
      </w:r>
      <w:r w:rsidRPr="00337E47">
        <w:rPr>
          <w:rFonts w:ascii="Times New Roman" w:hAnsi="Times New Roman" w:cs="Times New Roman"/>
          <w:sz w:val="28"/>
          <w:szCs w:val="28"/>
        </w:rPr>
      </w:r>
      <w:r w:rsidR="00341585">
        <w:rPr>
          <w:rFonts w:ascii="Times New Roman" w:hAnsi="Times New Roman" w:cs="Times New Roman"/>
          <w:sz w:val="28"/>
          <w:szCs w:val="28"/>
        </w:rPr>
      </w:r>
      <w:r w:rsidR="00C95F2A">
        <w:rPr>
          <w:rFonts w:ascii="Times New Roman" w:hAnsi="Times New Roman" w:cs="Times New Roman"/>
          <w:sz w:val="28"/>
          <w:szCs w:val="28"/>
        </w:rPr>
      </w:r>
      <w:r w:rsidRPr="00337E47">
        <w:rPr>
          <w:rFonts w:ascii="Times New Roman" w:hAnsi="Times New Roman" w:cs="Times New Roman"/>
          <w:sz w:val="28"/>
          <w:szCs w:val="28"/>
        </w:rPr>
      </w:r>
      <w:r w:rsidR="00341585">
        <w:rPr>
          <w:rFonts w:ascii="Times New Roman" w:hAnsi="Times New Roman" w:cs="Times New Roman"/>
          <w:sz w:val="28"/>
          <w:szCs w:val="28"/>
        </w:rPr>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t>1、Project Overview（e.g., background, state of the art, project objectives, key competitive advantages, etc.）</w:t>
            </w:r>
          </w:p>
          <w:p/>
          <w:p>
            <w: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r>
          </w:p>
          <w:p/>
          <w:p>
            <w:r>
              <w:t>Project Objectives: SecureCoating-Vision is a research prototype for non-destructive coating-defect inspection. It connects RGB detection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The LIBAD lane extends validation of the same battery-electrode inspection and quality-decision problem.</w:t>
            </w:r>
          </w:p>
          <w:p/>
          <w:p>
            <w:r>
              <w:t>Current Competitive Advantage: The implementation emphasizes evidence and failure behavior around a two-class YOLO26n detector/ONNX baseline: unsafe or unverified conditions are prevented from becoming automatic release decisions, inspection identities are protected against duplicate processing, and evaluation claims are gated by artifact hashes and split integrity. SecureCoating covers the inspection-to-quality-decision segment of an autonomous materials characterization pipeline; material/electrochemical performance prediction is the next validation stage once plant-linked property labels exist. The repository does not claim factory qualification or production performance.</w:t>
            </w:r>
          </w:p>
        </w:tc>
      </w:tr>
      <w:tr w:rsidR="009E4586" w:rsidRPr="00370FE4" w14:paraId="593346E3" w14:textId="77777777" w:rsidTr="009E4586">
        <w:tc>
          <w:tcPr>
            <w:tcW w:w="8296" w:type="dxa"/>
          </w:tcPr>
          <w:p w14:paraId="366EF17E" w14:textId="77777777" w:rsidR="00A47DBB" w:rsidRDefault="00000000">
            <w:r>
              <w:t>2、Project Plan（e.g., technical approach, main features/functionalities, project deliverables/outputs, etc.）</w:t>
            </w:r>
          </w:p>
          <w:p/>
          <w:p>
            <w:r>
              <w:t>Technical Approach: The current prototype runs an RGB two-class YOLO26n detector/ONNX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HMAC-SHA256 authenticated traceability tags, and OPC UA/Modbus adapters expose explicit command and acknowledgement contracts.</w:t>
            </w:r>
          </w:p>
          <w:p/>
          <w:p>
            <w:r>
              <w:t>Main Features/Functionalities: Two-class optical detection (surface_crack and delamination_crack) on real CoatingVision JPEGs; published pixel masks are dataset labels, not model output; calibrated coordinate mapping when an approved calibration artifact is supplied; roll/batch and part identity controls; PASS/REJECT/HOLD state handling; bounded uploads and inference concurrency; one-shot operations-snapshot dashboard (Guide / Operate / History / Dataset / Diagnose / Traceability / Multimodal); and hash-verified evaluation/evidence tooling.</w:t>
            </w:r>
          </w:p>
          <w:p/>
          <w:p>
            <w: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p>
        </w:tc>
      </w:tr>
      <w:tr w:rsidR="009E4586" w:rsidRPr="00370FE4" w14:paraId="1183F5A9" w14:textId="77777777" w:rsidTr="009E4586">
        <w:tc>
          <w:tcPr>
            <w:tcW w:w="8296" w:type="dxa"/>
          </w:tcPr>
          <w:p w14:paraId="1F3363AF" w14:textId="77777777" w:rsidR="00A47DBB" w:rsidRDefault="00000000">
            <w:r>
              <w:t>3、Key Innovations &amp; Unique Features</w:t>
            </w:r>
          </w:p>
          <w:p/>
          <w:p>
            <w:r>
              <w:t>Evidence-Gated Quality Decisions: The system separates model output from release authority. Missing sensors, invalid calibration, inference faults, traceability faults, stale or unconfirmed industrial communication, and latched interlocks produce HOLD rather than an inferred PASS.</w:t>
            </w:r>
          </w:p>
          <w:p/>
          <w:p>
            <w:r>
              <w:t>Traceable Inspection Memory: Each inspection is associated with an active roll and batch, claims a unique (batch_id, part_id), remains PENDING until the final gate outcome is known, and can be represented in an HMAC-SHA256 authenticated certificate snapshot.</w:t>
            </w:r>
          </w:p>
          <w:p/>
          <w:p>
            <w:r>
              <w:t>Reproducible Evaluation Boundaries: The evaluation engine validates immutable dataset manifests, records split provenance, and enforces consistent metric semantics. Independent roll-disjoint evidence remains a required gate for factory qualification.</w:t>
            </w:r>
          </w:p>
          <w:p/>
          <w:p>
            <w: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6、Additional Information（e.g., R&amp;D process, lessons learned, etc.）</w:t>
            </w:r>
          </w:p>
          <w:p/>
          <w:p>
            <w: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r>
          </w:p>
          <w:p/>
          <w:p>
            <w: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The current RGB detector is hash-pinned YOLO26n/ONNX on an image-disjoint CoatingVision test split; that split is not factory roll-disjoint evidence.</w:t>
            </w:r>
          </w:p>
          <w:p/>
          <w:p>
            <w:r>
              <w:t>Next Validation Steps: Obtain an independent roll-disjoint factory dataset; complete PLC/HIL, plant calibration, and safety testing; pursue authors' DINOv3/DA-Core validation only if paper-comparable LIBAD benchmarking is required; and treat downstream material/electrochemical performance prediction as future validation, not a current defense claim.</w:t>
            </w:r>
          </w:p>
          <w:p/>
          <w:p>
            <w:r>
              <w:t>Advisor / 指导老师: Prof. Kris Singh — Visiting Professor, Tsinghua University; Founder &amp; CEO, SRII. Advisory scope: innovation, industrialization, and final-defense guidance.</w:t>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t>7、Team Member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158"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158" w:type="dxa"/>
                  <w:vAlign w:val="center"/>
                </w:tcPr>
                <w:p w14:paraId="735228E4" w14:textId="77777777" w:rsidR="00461DDA" w:rsidRPr="009A5076" w:rsidRDefault="00461DDA" w:rsidP="00DE6917">
                  <w:pPr>
                    <w:jc w:val="center"/>
                    <w:rPr>
                      <w:rFonts w:ascii="Times New Roman" w:hAnsi="Times New Roman" w:cs="Times New Roman"/>
                      <w:szCs w:val="20"/>
                    </w:rPr>
                  </w:pPr>
                  <w:r>
                    <w:t>Team Leader</w:t>
                  </w:r>
                </w:p>
              </w:tc>
              <w:tc>
                <w:tcPr>
                  <w:tcW w:w="1577" w:type="dxa"/>
                  <w:vAlign w:val="center"/>
                </w:tcPr>
                <w:p w14:paraId="31F7A58B" w14:textId="77777777" w:rsidR="00461DDA" w:rsidRPr="009A5076" w:rsidRDefault="00461DDA" w:rsidP="00DE6917">
                  <w:pPr>
                    <w:jc w:val="center"/>
                    <w:rPr>
                      <w:rFonts w:ascii="Times New Roman" w:hAnsi="Times New Roman" w:cs="Times New Roman"/>
                      <w:szCs w:val="20"/>
                    </w:rPr>
                  </w:pPr>
                  <w:r>
                    <w:t>Trịnh Hoàng Tú</w:t>
                  </w:r>
                </w:p>
              </w:tc>
              <w:tc>
                <w:tcPr>
                  <w:tcW w:w="1429" w:type="dxa"/>
                  <w:vAlign w:val="center"/>
                </w:tcPr>
                <w:p w14:paraId="0496A2F0" w14:textId="77777777" w:rsidR="00461DDA" w:rsidRPr="009A5076" w:rsidRDefault="00461DDA" w:rsidP="00DE6917">
                  <w:pPr>
                    <w:jc w:val="center"/>
                    <w:rPr>
                      <w:rFonts w:ascii="Times New Roman" w:hAnsi="Times New Roman" w:cs="Times New Roman"/>
                      <w:szCs w:val="20"/>
                    </w:rPr>
                  </w:pPr>
                  <w:r>
                    <w:t>HUFLIT</w:t>
                  </w:r>
                </w:p>
              </w:tc>
              <w:tc>
                <w:tcPr>
                  <w:tcW w:w="1548" w:type="dxa"/>
                  <w:vAlign w:val="center"/>
                </w:tcPr>
                <w:p w14:paraId="21F571B5" w14:textId="77777777" w:rsidR="00461DDA" w:rsidRPr="009A5076" w:rsidRDefault="00461DDA" w:rsidP="00DE6917">
                  <w:pPr>
                    <w:jc w:val="center"/>
                    <w:rPr>
                      <w:rFonts w:ascii="Times New Roman" w:hAnsi="Times New Roman" w:cs="Times New Roman"/>
                      <w:szCs w:val="20"/>
                    </w:rPr>
                  </w:pPr>
                  <w:r>
                    <w:t>+84 983967098</w:t>
                  </w:r>
                </w:p>
              </w:tc>
              <w:tc>
                <w:tcPr>
                  <w:tcW w:w="2358" w:type="dxa"/>
                  <w:vAlign w:val="center"/>
                </w:tcPr>
                <w:p w14:paraId="60180026" w14:textId="77777777" w:rsidR="00461DDA" w:rsidRPr="009A5076" w:rsidRDefault="00461DDA" w:rsidP="00DE6917">
                  <w:pPr>
                    <w:jc w:val="center"/>
                    <w:rPr>
                      <w:rFonts w:ascii="Times New Roman" w:hAnsi="Times New Roman" w:cs="Times New Roman"/>
                      <w:szCs w:val="20"/>
                    </w:rPr>
                  </w:pPr>
                  <w:r>
                    <w:t>tht.csec2005@gmail.com</w:t>
                  </w:r>
                </w:p>
              </w:tc>
            </w:tr>
            <w:tr w:rsidR="00461DDA" w:rsidRPr="00370FE4" w14:paraId="00F3F262" w14:textId="77777777" w:rsidTr="00DE6917">
              <w:trPr>
                <w:jc w:val="center"/>
              </w:trPr>
              <w:tc>
                <w:tcPr>
                  <w:tcW w:w="1158"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t>Team Member</w:t>
                  </w:r>
                </w:p>
              </w:tc>
              <w:tc>
                <w:tcPr>
                  <w:tcW w:w="1577" w:type="dxa"/>
                  <w:vAlign w:val="center"/>
                </w:tcPr>
                <w:p w14:paraId="6F712B21" w14:textId="77777777" w:rsidR="00461DDA" w:rsidRPr="009A5076" w:rsidRDefault="006A5AF2" w:rsidP="00DE6917">
                  <w:pPr>
                    <w:jc w:val="center"/>
                    <w:rPr>
                      <w:rFonts w:ascii="Times New Roman" w:hAnsi="Times New Roman" w:cs="Times New Roman"/>
                      <w:szCs w:val="20"/>
                    </w:rPr>
                  </w:pPr>
                  <w:r/>
                </w:p>
              </w:tc>
              <w:tc>
                <w:tcPr>
                  <w:tcW w:w="1429" w:type="dxa"/>
                  <w:vAlign w:val="center"/>
                </w:tcPr>
                <w:p w14:paraId="63907F0E" w14:textId="77777777" w:rsidR="00461DDA" w:rsidRPr="009A5076" w:rsidRDefault="006A5AF2" w:rsidP="00DE6917">
                  <w:pPr>
                    <w:jc w:val="center"/>
                    <w:rPr>
                      <w:rFonts w:ascii="Times New Roman" w:hAnsi="Times New Roman" w:cs="Times New Roman"/>
                      <w:szCs w:val="20"/>
                    </w:rPr>
                  </w:pPr>
                  <w:r/>
                </w:p>
              </w:tc>
              <w:tc>
                <w:tcPr>
                  <w:tcW w:w="1548" w:type="dxa"/>
                  <w:vAlign w:val="center"/>
                </w:tcPr>
                <w:p w14:paraId="396735D8" w14:textId="77777777" w:rsidR="00461DDA" w:rsidRPr="009A5076" w:rsidRDefault="00461DDA" w:rsidP="00DE6917">
                  <w:pPr>
                    <w:jc w:val="center"/>
                    <w:rPr>
                      <w:rFonts w:ascii="Times New Roman" w:hAnsi="Times New Roman" w:cs="Times New Roman"/>
                      <w:szCs w:val="20"/>
                    </w:rPr>
                  </w:pPr>
                  <w:r/>
                </w:p>
              </w:tc>
              <w:tc>
                <w:tcPr>
                  <w:tcW w:w="2358" w:type="dxa"/>
                  <w:vAlign w:val="center"/>
                </w:tcPr>
                <w:p w14:paraId="47897FAD" w14:textId="77777777" w:rsidR="00461DDA" w:rsidRPr="009A5076" w:rsidRDefault="006A5AF2" w:rsidP="00DE6917">
                  <w:pPr>
                    <w:jc w:val="center"/>
                    <w:rPr>
                      <w:rFonts w:ascii="Times New Roman" w:hAnsi="Times New Roman" w:cs="Times New Roman"/>
                      <w:szCs w:val="20"/>
                    </w:rPr>
                  </w:pPr>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6B15F361" w14:textId="77777777" w:rsidR="00461DDA" w:rsidRPr="009A5076" w:rsidRDefault="00461DDA" w:rsidP="00DE6917">
                  <w:pPr>
                    <w:jc w:val="center"/>
                    <w:rPr>
                      <w:rFonts w:ascii="Times New Roman" w:hAnsi="Times New Roman" w:cs="Times New Roman"/>
                      <w:b/>
                      <w:szCs w:val="20"/>
                    </w:rPr>
                  </w:pPr>
                  <w:r/>
                </w:p>
              </w:tc>
              <w:tc>
                <w:tcPr>
                  <w:tcW w:w="1429" w:type="dxa"/>
                  <w:vAlign w:val="center"/>
                </w:tcPr>
                <w:p w14:paraId="4426AF0F" w14:textId="77777777" w:rsidR="00461DDA" w:rsidRPr="009A5076" w:rsidRDefault="00461DDA" w:rsidP="00DE6917">
                  <w:pPr>
                    <w:jc w:val="center"/>
                    <w:rPr>
                      <w:rFonts w:ascii="Times New Roman" w:hAnsi="Times New Roman" w:cs="Times New Roman"/>
                      <w:b/>
                      <w:szCs w:val="20"/>
                    </w:rPr>
                  </w:pPr>
                  <w:r/>
                </w:p>
              </w:tc>
              <w:tc>
                <w:tcPr>
                  <w:tcW w:w="1548" w:type="dxa"/>
                  <w:vAlign w:val="center"/>
                </w:tcPr>
                <w:p w14:paraId="1B16BA61" w14:textId="77777777" w:rsidR="00461DDA" w:rsidRPr="009A5076" w:rsidRDefault="00461DDA" w:rsidP="00DE6917">
                  <w:pPr>
                    <w:jc w:val="center"/>
                    <w:rPr>
                      <w:rFonts w:ascii="Times New Roman" w:hAnsi="Times New Roman" w:cs="Times New Roman"/>
                      <w:b/>
                      <w:szCs w:val="20"/>
                    </w:rPr>
                  </w:pPr>
                  <w:r/>
                </w:p>
              </w:tc>
              <w:tc>
                <w:tcPr>
                  <w:tcW w:w="2358" w:type="dxa"/>
                  <w:vAlign w:val="center"/>
                </w:tcPr>
                <w:p w14:paraId="51F8CC3E" w14:textId="77777777" w:rsidR="00461DDA" w:rsidRPr="009A5076" w:rsidRDefault="00461DDA" w:rsidP="00DE6917">
                  <w:pPr>
                    <w:jc w:val="center"/>
                    <w:rPr>
                      <w:rFonts w:ascii="Times New Roman" w:hAnsi="Times New Roman" w:cs="Times New Roman"/>
                      <w:b/>
                      <w:szCs w:val="20"/>
                    </w:rPr>
                  </w:pPr>
                  <w: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5986E67B" w14:textId="77777777" w:rsidR="00461DDA" w:rsidRPr="00370FE4" w:rsidRDefault="00461DDA" w:rsidP="00DE6917">
                  <w:pPr>
                    <w:jc w:val="center"/>
                    <w:rPr>
                      <w:rFonts w:ascii="Times New Roman" w:hAnsi="Times New Roman" w:cs="Times New Roman"/>
                      <w:b/>
                      <w:sz w:val="24"/>
                      <w:szCs w:val="24"/>
                    </w:rPr>
                  </w:pPr>
                  <w:r/>
                </w:p>
              </w:tc>
              <w:tc>
                <w:tcPr>
                  <w:tcW w:w="1429" w:type="dxa"/>
                  <w:vAlign w:val="center"/>
                </w:tcPr>
                <w:p w14:paraId="2744F000" w14:textId="77777777" w:rsidR="00461DDA" w:rsidRPr="00370FE4" w:rsidRDefault="00461DDA" w:rsidP="00DE6917">
                  <w:pPr>
                    <w:jc w:val="center"/>
                    <w:rPr>
                      <w:rFonts w:ascii="Times New Roman" w:hAnsi="Times New Roman" w:cs="Times New Roman"/>
                      <w:b/>
                      <w:sz w:val="24"/>
                      <w:szCs w:val="24"/>
                    </w:rPr>
                  </w:pPr>
                  <w:r/>
                </w:p>
              </w:tc>
              <w:tc>
                <w:tcPr>
                  <w:tcW w:w="1548" w:type="dxa"/>
                  <w:vAlign w:val="center"/>
                </w:tcPr>
                <w:p w14:paraId="1AB7F862" w14:textId="77777777" w:rsidR="00461DDA" w:rsidRPr="00370FE4" w:rsidRDefault="00461DDA" w:rsidP="00DE6917">
                  <w:pPr>
                    <w:jc w:val="center"/>
                    <w:rPr>
                      <w:rFonts w:ascii="Times New Roman" w:hAnsi="Times New Roman" w:cs="Times New Roman"/>
                      <w:b/>
                      <w:sz w:val="24"/>
                      <w:szCs w:val="24"/>
                    </w:rPr>
                  </w:pPr>
                  <w:r/>
                </w:p>
              </w:tc>
              <w:tc>
                <w:tcPr>
                  <w:tcW w:w="2358" w:type="dxa"/>
                  <w:vAlign w:val="center"/>
                </w:tcPr>
                <w:p w14:paraId="1EC08CEA" w14:textId="77777777" w:rsidR="00461DDA" w:rsidRPr="00370FE4" w:rsidRDefault="00461DDA" w:rsidP="00DE6917">
                  <w:pPr>
                    <w:jc w:val="center"/>
                    <w:rPr>
                      <w:rFonts w:ascii="Times New Roman" w:hAnsi="Times New Roman" w:cs="Times New Roman"/>
                      <w:b/>
                      <w:sz w:val="24"/>
                      <w:szCs w:val="24"/>
                    </w:rPr>
                  </w:pPr>
                  <w:r/>
                </w:p>
              </w:tc>
            </w:tr>
          </w:tbl>
          <w:p/>
          <w:p>
            <w:r/>
          </w:p>
          <w:p>
            <w:r/>
          </w:p>
        </w:tc>
      </w:tr>
    </w:tbl>
    <w:sectPr w:rsidR="003105E9" w:rsidRPr="008829DA">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67</cp:revision>
  <dcterms:created xsi:type="dcterms:W3CDTF">2026-04-23T07:51:00Z</dcterms:created>
  <dcterms:modified xsi:type="dcterms:W3CDTF">2026-08-27T14:59:00Z</dcterms:modified>
</cp:coreProperties>
</file>