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97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43339548"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6FC3217" w14:textId="77777777" w:rsidTr="00422FAF">
        <w:tc>
          <w:tcPr>
            <w:tcW w:w="3539" w:type="dxa"/>
            <w:vAlign w:val="bottom"/>
          </w:tcPr>
          <w:p w14:paraId="2BE788EA"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6C7C48A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SecureCoating Vision: A High-Throughput and Zero-Trust Edge-Cloud Pipeline for Inline Battery Electrode Defect Inspection and Traceable Quality Decisions</w:t>
            </w:r>
          </w:p>
        </w:tc>
      </w:tr>
      <w:tr w:rsidR="001E23D2" w:rsidRPr="00370FE4" w14:paraId="2DE68A54" w14:textId="77777777" w:rsidTr="00422FAF">
        <w:tc>
          <w:tcPr>
            <w:tcW w:w="3539" w:type="dxa"/>
            <w:vAlign w:val="bottom"/>
          </w:tcPr>
          <w:p w14:paraId="441A8D46"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9AA8614"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024D6FDA" w14:textId="77777777" w:rsidTr="00422FAF">
        <w:tc>
          <w:tcPr>
            <w:tcW w:w="3539" w:type="dxa"/>
            <w:vAlign w:val="bottom"/>
          </w:tcPr>
          <w:p w14:paraId="005582EC"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6B8C595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B55C7F" w14:textId="77777777" w:rsidTr="00422FAF">
        <w:tc>
          <w:tcPr>
            <w:tcW w:w="3539" w:type="dxa"/>
            <w:vAlign w:val="bottom"/>
          </w:tcPr>
          <w:p w14:paraId="6FC8B411"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1B0E106"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3398F4DE" w14:textId="77777777" w:rsidTr="00422FAF">
        <w:tc>
          <w:tcPr>
            <w:tcW w:w="3539" w:type="dxa"/>
            <w:vAlign w:val="bottom"/>
          </w:tcPr>
          <w:p w14:paraId="3DAA729E"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EFBF95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440EA85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015D5061" w14:textId="4C998245" w:rsidR="00884B78" w:rsidRPr="008B2F89" w:rsidRDefault="00337E47" w:rsidP="00337E47">
      <w:pPr>
        <w:jc w:val="center"/>
        <w:rPr>
          <w:rFonts w:ascii="Times New Roman" w:hAnsi="Times New Roman" w:cs="Times New Roman"/>
          <w:sz w:val="28"/>
          <w:szCs w:val="28"/>
        </w:rPr>
      </w:pPr>
      <w:r w:rsidRPr="00337E47">
        <w:rPr>
          <w:rFonts w:ascii="Times New Roman" w:hAnsi="Times New Roman" w:cs="Times New Roman"/>
          <w:sz w:val="28"/>
          <w:szCs w:val="28"/>
        </w:rPr>
        <w:t>Date:</w:t>
      </w:r>
      <w:r w:rsidR="00020B95">
        <w:rPr>
          <w:rFonts w:ascii="Times New Roman" w:hAnsi="Times New Roman" w:cs="Times New Roman"/>
          <w:sz w:val="28"/>
          <w:szCs w:val="28"/>
        </w:rPr>
        <w:t xml:space="preserve"> 2</w:t>
      </w:r>
      <w:r w:rsidR="00C95F2A">
        <w:rPr>
          <w:rFonts w:ascii="Times New Roman" w:hAnsi="Times New Roman" w:cs="Times New Roman"/>
          <w:sz w:val="28"/>
          <w:szCs w:val="28"/>
        </w:rPr>
        <w:t>7</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0</w:t>
      </w:r>
      <w:r w:rsidR="00C95F2A">
        <w:rPr>
          <w:rFonts w:ascii="Times New Roman" w:hAnsi="Times New Roman" w:cs="Times New Roman"/>
          <w:sz w:val="28"/>
          <w:szCs w:val="28"/>
        </w:rPr>
        <w:t>8</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2026</w:t>
      </w:r>
    </w:p>
    <w:tbl>
      <w:tblPr>
        <w:tblStyle w:val="TableGrid"/>
        <w:tblW w:w="0" w:type="auto"/>
        <w:tblLook w:val="04A0" w:firstRow="1" w:lastRow="0" w:firstColumn="1" w:lastColumn="0" w:noHBand="0" w:noVBand="1"/>
      </w:tblPr>
      <w:tblGrid>
        <w:gridCol w:w="8296"/>
      </w:tblGrid>
      <w:tr w:rsidR="009E4586" w:rsidRPr="00370FE4" w14:paraId="2229BE1C" w14:textId="77777777" w:rsidTr="009E4586">
        <w:tc>
          <w:tcPr>
            <w:tcW w:w="8296" w:type="dxa"/>
          </w:tcPr>
          <w:p w14:paraId="73E137E2" w14:textId="77777777" w:rsidR="00A47DBB" w:rsidRDefault="00000000">
            <w:r>
              <w:t>1、Project Overview（e.g., background, state of the art, project objectives, key competitive advantages, etc.）</w:t>
              <w:br/>
              <w:b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br/>
              <w:br/>
              <w:t>Project Objectives: SecureCoating-Vision is a research prototype for non-destructive coating-defect inspection. It connects RGB detection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This is a validation extension, not a change of topic.</w:t>
              <w:br/>
              <w:br/>
              <w:t>Current Competitive Advantage: The implementation emphasizes evidence and failure behavior around a two-class YOLO26n detector/ONNX baseline: unsafe or unverified conditions are prevented from becoming automatic release decisions, inspection identities are protected against duplicate processing, and evaluation claims are gated by artifact hashes and split integrity. The repository does not claim factory qualification or production performance.</w:t>
            </w:r>
            <w:r/>
            <w:r/>
            <w:r/>
            <w:r/>
            <w:r/>
            <w:r/>
            <w:r/>
            <w:r/>
            <w:r/>
            <w:r/>
            <w:r/>
          </w:p>
        </w:tc>
      </w:tr>
      <w:tr w:rsidR="009E4586" w:rsidRPr="00370FE4" w14:paraId="593346E3" w14:textId="77777777" w:rsidTr="009E4586">
        <w:tc>
          <w:tcPr>
            <w:tcW w:w="8296" w:type="dxa"/>
          </w:tcPr>
          <w:p w14:paraId="366EF17E" w14:textId="77777777" w:rsidR="00A47DBB" w:rsidRDefault="00000000">
            <w:r>
              <w:t>2、Project Plan（e.g., technical approach, main features/functionalities, project deliverables/outputs, etc.）</w:t>
              <w:br/>
              <w:br/>
              <w:t>Technical Approach: The current prototype runs an RGB two-class YOLO26n detector/ONNX inference path locally. Thermal and height streams are simulated or injected interface adapters for registration, metrology, and degraded-mode testing; they are not plant-instrument measurements. After that software-and-safety contract, we added a LIBAD-compatible validation lane for aligned visible-light and X-rayL inputs. The checked-in 90-second demo uses deterministic protocol fixtures; paper-comparable claims require separately verified official dataset/splits and the authors' official implementation. DA-Core remains the LIBAD authors baseline; SecureCoating-Vision adds the evidence-gated PASS/REJECT/HOLD layer. The API applies readiness and fail-closed checks before issuing a decision. Traceability records are written to SQLite, certificates use canonical HMAC-SHA256 payloads, and OPC UA/Modbus adapters expose explicit command and acknowledgement contracts.</w:t>
              <w:br/>
              <w:br/>
              <w:t>Main Features/Functionalities: Two-class optical detection (surface_crack and delamination_crack) on real CoatingVision JPEGs; published pixel masks are dataset labels, not model output; calibrated coordinate mapping when an approved calibration artifact is supplied; roll/batch and part identity controls; PASS/REJECT/HOLD state handling; bounded uploads and inference concurrency; one-shot operations-snapshot dashboard (Guide / Operate / History / Dataset / Diagnose / Traceability / Multimodal); and hash-verified evaluation/evidence tooling.</w:t>
              <w:br/>
              <w:b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r/>
            <w:r/>
            <w:r/>
            <w:r/>
            <w:r/>
            <w:r/>
            <w:r/>
            <w:r/>
            <w:r/>
            <w:r/>
            <w:r/>
          </w:p>
        </w:tc>
      </w:tr>
      <w:tr w:rsidR="009E4586" w:rsidRPr="00370FE4" w14:paraId="1183F5A9" w14:textId="77777777" w:rsidTr="009E4586">
        <w:tc>
          <w:tcPr>
            <w:tcW w:w="8296" w:type="dxa"/>
          </w:tcPr>
          <w:p w14:paraId="1F3363AF" w14:textId="77777777" w:rsidR="00A47DBB" w:rsidRDefault="00000000">
            <w:r>
              <w:t>3、Key Innovations &amp; Unique Features</w:t>
              <w:br/>
              <w:br/>
              <w:t>Evidence-Gated Quality Decisions: The system separates model output from release authority. Missing sensors, invalid calibration, inference faults, traceability faults, stale or unconfirmed industrial communication, and latched interlocks produce HOLD rather than an inferred PASS.</w:t>
              <w:br/>
              <w:br/>
              <w:t>Traceable Inspection Memory: Each inspection is associated with an active roll and batch, claims a unique (batch_id, part_id), remains PENDING until the final gate outcome is known, and can be represented in a signed certificate snapshot.</w:t>
              <w:br/>
              <w:br/>
              <w:t>Reproducible Evaluation Boundaries: The evaluation engine validates immutable dataset manifests, records split provenance, and enforces consistent metric semantics. Independent roll-disjoint evidence remains a required gate for factory qualification.</w:t>
              <w:br/>
              <w:br/>
              <w:t>Practical Deployment Boundary: The production dashboard consumes one API snapshot and does not render simulators. Operator E-stop/reset require authentication, exact confirmation, and a durable audit.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17166864" w14:textId="77777777" w:rsidTr="009E4586">
        <w:tc>
          <w:tcPr>
            <w:tcW w:w="8296" w:type="dxa"/>
          </w:tcPr>
          <w:p w14:paraId="0E741A02" w14:textId="77777777" w:rsidR="00A47DBB" w:rsidRDefault="00000000">
            <w:r>
              <w:lastRenderedPageBreak/>
              <w:t>4</w:t>
            </w:r>
            <w:r>
              <w:t>、</w:t>
            </w:r>
            <w:r>
              <w:t>Applications &amp; Market Potential</w:t>
            </w:r>
            <w:r>
              <w:br/>
            </w:r>
            <w:r>
              <w:br/>
              <w:t>Immediate Application: A future pilot could use the software as an inspection and traceability layer for lithium-ion electrode coating, drying, and coated-foil processes, subject to plant calibration, sensor integration, PLC/HIL testing, and safety approval.</w:t>
            </w:r>
            <w:r>
              <w:br/>
            </w:r>
            <w:r>
              <w:br/>
              <w:t>Adjacent Applications: The same evidence-gated workflow may be adapted to other coated materials, separators, fuel-cell components, and high-value continuous-web manufacturing where surface inspection and traceability are important.</w:t>
            </w:r>
            <w:r>
              <w:br/>
            </w:r>
            <w: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3886C06" w14:textId="77777777" w:rsidTr="009E4586">
        <w:tc>
          <w:tcPr>
            <w:tcW w:w="8296" w:type="dxa"/>
          </w:tcPr>
          <w:p w14:paraId="51AF7781" w14:textId="77777777" w:rsidR="00A47DBB" w:rsidRDefault="00000000">
            <w:r>
              <w:t>5</w:t>
            </w:r>
            <w:r>
              <w:t>、</w:t>
            </w:r>
            <w:r>
              <w:t>Business Case/Strategy</w:t>
            </w:r>
            <w:r>
              <w:t>（</w:t>
            </w:r>
            <w:r>
              <w:t>e.g., go-to-market strategy, business model, market size/opportunity, and operational model, etc.</w:t>
            </w:r>
            <w:r>
              <w:t>）</w:t>
            </w:r>
            <w:r>
              <w:br/>
            </w:r>
            <w: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r>
            <w:r>
              <w:br/>
            </w:r>
            <w: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br/>
            </w:r>
            <w:r>
              <w:br/>
              <w:t>Risk Boundary: The present submission is a software research prototype. It is not sold as a safety-rated controller, regulatory certificate generator, or proven zero-escape production system.</w:t>
            </w:r>
          </w:p>
        </w:tc>
      </w:tr>
      <w:tr w:rsidR="006169BA" w:rsidRPr="00370FE4" w14:paraId="5DCC41D0" w14:textId="77777777" w:rsidTr="009E4586">
        <w:tc>
          <w:tcPr>
            <w:tcW w:w="8296" w:type="dxa"/>
          </w:tcPr>
          <w:p w14:paraId="33A50C0E" w14:textId="77777777" w:rsidR="00A47DBB" w:rsidRDefault="00000000">
            <w:r>
              <w:t>6、Additional Information（e.g., R&amp;D process, lessons learned, etc.）</w:t>
              <w:br/>
              <w:b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authoritative automated-test snapshot is generated by scripts/record_test_manifest.py and stored in reports/test_manifest.json; this form does not duplicate a mutable test count. Local simulation is not hardware evidence.</w:t>
              <w:br/>
              <w:b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The current RGB detector is hash-pinned YOLO26n/ONNX on an image-disjoint CoatingVision test split; that split is not factory roll-disjoint evidence.</w:t>
              <w:br/>
              <w:br/>
              <w:t>Next Validation Steps: Obtain an independent roll-disjoint dataset, hash-verify official LIBAD, complete PLC/HIL and safety testing, validate factory calibration, and publish only measurements supported by immutable evidence.</w:t>
            </w:r>
            <w:r/>
            <w:r/>
            <w:r/>
            <w:r/>
            <w:r/>
            <w:r/>
            <w:r/>
            <w:r/>
            <w:r/>
            <w:r/>
            <w:r/>
          </w:p>
        </w:tc>
      </w:tr>
      <w:tr w:rsidR="00461DDA" w:rsidRPr="00370FE4" w14:paraId="23060FD9" w14:textId="77777777" w:rsidTr="00DE6917">
        <w:tc>
          <w:tcPr>
            <w:tcW w:w="8296" w:type="dxa"/>
          </w:tcPr>
          <w:p w14:paraId="0005A268" w14:textId="77777777" w:rsidR="00461DDA" w:rsidRPr="000D6E58" w:rsidRDefault="00461DDA" w:rsidP="00DE6917">
            <w:pPr>
              <w:jc w:val="left"/>
              <w:rPr>
                <w:rFonts w:ascii="Times New Roman" w:eastAsia="SimHei" w:hAnsi="Times New Roman" w:cs="Times New Roman"/>
                <w:b/>
                <w:bCs/>
                <w:sz w:val="24"/>
              </w:rPr>
            </w:pPr>
            <w:r>
              <w:t>7、Team Member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143FEC1F" w14:textId="77777777" w:rsidTr="00DE6917">
              <w:trPr>
                <w:jc w:val="center"/>
              </w:trPr>
              <w:tc>
                <w:tcPr>
                  <w:tcW w:w="1158" w:type="dxa"/>
                  <w:vAlign w:val="center"/>
                </w:tcPr>
                <w:p w14:paraId="31001ABF"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6C0EED79"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13B91DDE"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3FBB782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15FC89D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13CA9204" w14:textId="77777777" w:rsidTr="00DE6917">
              <w:trPr>
                <w:jc w:val="center"/>
              </w:trPr>
              <w:tc>
                <w:tcPr>
                  <w:tcW w:w="1158" w:type="dxa"/>
                  <w:vAlign w:val="center"/>
                </w:tcPr>
                <w:p w14:paraId="735228E4"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Lead</w:t>
                  </w:r>
                  <w:r w:rsidRPr="009A5076">
                    <w:rPr>
                      <w:rFonts w:ascii="Times New Roman" w:hAnsi="Times New Roman" w:cs="Times New Roman" w:hint="eastAsia"/>
                      <w:szCs w:val="20"/>
                    </w:rPr>
                    <w:t>er</w:t>
                  </w:r>
                </w:p>
              </w:tc>
              <w:tc>
                <w:tcPr>
                  <w:tcW w:w="1577" w:type="dxa"/>
                  <w:vAlign w:val="center"/>
                </w:tcPr>
                <w:p w14:paraId="31F7A58B"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Trịnh Hoàng Tú</w:t>
                  </w:r>
                </w:p>
              </w:tc>
              <w:tc>
                <w:tcPr>
                  <w:tcW w:w="1429" w:type="dxa"/>
                  <w:vAlign w:val="center"/>
                </w:tcPr>
                <w:p w14:paraId="0496A2F0"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HUFLIT</w:t>
                  </w:r>
                </w:p>
              </w:tc>
              <w:tc>
                <w:tcPr>
                  <w:tcW w:w="1548" w:type="dxa"/>
                  <w:vAlign w:val="center"/>
                </w:tcPr>
                <w:p w14:paraId="21F571B5"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+84 983967098</w:t>
                  </w:r>
                </w:p>
              </w:tc>
              <w:tc>
                <w:tcPr>
                  <w:tcW w:w="2358" w:type="dxa"/>
                  <w:vAlign w:val="center"/>
                </w:tcPr>
                <w:p w14:paraId="60180026"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tht.csec2005@gmail.com</w:t>
                  </w:r>
                </w:p>
              </w:tc>
            </w:tr>
            <w:tr w:rsidR="00461DDA" w:rsidRPr="00370FE4" w14:paraId="00F3F262" w14:textId="77777777" w:rsidTr="00DE6917">
              <w:trPr>
                <w:jc w:val="center"/>
              </w:trPr>
              <w:tc>
                <w:tcPr>
                  <w:tcW w:w="1158" w:type="dxa"/>
                  <w:vMerge w:val="restart"/>
                  <w:vAlign w:val="center"/>
                </w:tcPr>
                <w:p w14:paraId="5D505F9E"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Member</w:t>
                  </w:r>
                </w:p>
              </w:tc>
              <w:tc>
                <w:tcPr>
                  <w:tcW w:w="1577" w:type="dxa"/>
                  <w:vAlign w:val="center"/>
                </w:tcPr>
                <w:p w14:paraId="6F712B21"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w:t>
                  </w:r>
                  <w:r w:rsidRPr="006A5AF2">
                    <w:rPr>
                      <w:rFonts w:ascii="Times New Roman" w:hAnsi="Times New Roman" w:cs="Times New Roman"/>
                      <w:szCs w:val="20"/>
                    </w:rPr>
                    <w:t>External Advisor</w:t>
                  </w:r>
                  <w:r>
                    <w:rPr>
                      <w:rFonts w:ascii="Times New Roman" w:hAnsi="Times New Roman" w:cs="Times New Roman"/>
                      <w:szCs w:val="20"/>
                    </w:rPr>
                    <w:t>)</w:t>
                  </w:r>
                  <w:r w:rsidRPr="006A5AF2">
                    <w:rPr>
                      <w:rFonts w:ascii="Times New Roman" w:hAnsi="Times New Roman" w:cs="Times New Roman"/>
                      <w:szCs w:val="20"/>
                    </w:rPr>
                    <w:t xml:space="preserve"> Kris Singh</w:t>
                  </w:r>
                </w:p>
              </w:tc>
              <w:tc>
                <w:tcPr>
                  <w:tcW w:w="1429" w:type="dxa"/>
                  <w:vAlign w:val="center"/>
                </w:tcPr>
                <w:p w14:paraId="63907F0E" w14:textId="77777777" w:rsidR="00461DDA" w:rsidRPr="009A5076" w:rsidRDefault="006A5AF2" w:rsidP="00DE6917">
                  <w:pPr>
                    <w:jc w:val="center"/>
                    <w:rPr>
                      <w:rFonts w:ascii="Times New Roman" w:hAnsi="Times New Roman" w:cs="Times New Roman"/>
                      <w:szCs w:val="20"/>
                    </w:rPr>
                  </w:pPr>
                  <w:r w:rsidRPr="006A5AF2">
                    <w:rPr>
                      <w:rFonts w:ascii="Times New Roman" w:hAnsi="Times New Roman" w:cs="Times New Roman"/>
                      <w:szCs w:val="20"/>
                    </w:rPr>
                    <w:t>Founder and CEO, SRII; Visiting Professor, Tsinghua University</w:t>
                  </w:r>
                </w:p>
              </w:tc>
              <w:tc>
                <w:tcPr>
                  <w:tcW w:w="1548" w:type="dxa"/>
                  <w:vAlign w:val="center"/>
                </w:tcPr>
                <w:p w14:paraId="396735D8" w14:textId="77777777" w:rsidR="00461DDA" w:rsidRPr="009A5076" w:rsidRDefault="00461DDA" w:rsidP="00DE6917">
                  <w:pPr>
                    <w:jc w:val="center"/>
                    <w:rPr>
                      <w:rFonts w:ascii="Times New Roman" w:hAnsi="Times New Roman" w:cs="Times New Roman"/>
                      <w:szCs w:val="20"/>
                    </w:rPr>
                  </w:pPr>
                </w:p>
              </w:tc>
              <w:tc>
                <w:tcPr>
                  <w:tcW w:w="2358" w:type="dxa"/>
                  <w:vAlign w:val="center"/>
                </w:tcPr>
                <w:p w14:paraId="47897FAD"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kris@thesrii.org</w:t>
                  </w:r>
                </w:p>
              </w:tc>
            </w:tr>
            <w:tr w:rsidR="00461DDA" w:rsidRPr="00370FE4" w14:paraId="50C0386B" w14:textId="77777777" w:rsidTr="00DE6917">
              <w:trPr>
                <w:jc w:val="center"/>
              </w:trPr>
              <w:tc>
                <w:tcPr>
                  <w:tcW w:w="1158" w:type="dxa"/>
                  <w:vMerge/>
                  <w:vAlign w:val="center"/>
                </w:tcPr>
                <w:p w14:paraId="29A6479C" w14:textId="77777777" w:rsidR="00461DDA" w:rsidRPr="009A5076" w:rsidRDefault="00461DDA" w:rsidP="00DE6917">
                  <w:pPr>
                    <w:jc w:val="center"/>
                    <w:rPr>
                      <w:rFonts w:ascii="Times New Roman" w:hAnsi="Times New Roman" w:cs="Times New Roman"/>
                      <w:b/>
                      <w:szCs w:val="20"/>
                    </w:rPr>
                  </w:pPr>
                </w:p>
              </w:tc>
              <w:tc>
                <w:tcPr>
                  <w:tcW w:w="1577" w:type="dxa"/>
                  <w:vAlign w:val="center"/>
                </w:tcPr>
                <w:p w14:paraId="6B15F361" w14:textId="77777777" w:rsidR="00461DDA" w:rsidRPr="009A5076" w:rsidRDefault="00461DDA" w:rsidP="00DE6917">
                  <w:pPr>
                    <w:jc w:val="center"/>
                    <w:rPr>
                      <w:rFonts w:ascii="Times New Roman" w:hAnsi="Times New Roman" w:cs="Times New Roman"/>
                      <w:b/>
                      <w:szCs w:val="20"/>
                    </w:rPr>
                  </w:pPr>
                </w:p>
              </w:tc>
              <w:tc>
                <w:tcPr>
                  <w:tcW w:w="1429" w:type="dxa"/>
                  <w:vAlign w:val="center"/>
                </w:tcPr>
                <w:p w14:paraId="4426AF0F" w14:textId="77777777" w:rsidR="00461DDA" w:rsidRPr="009A5076" w:rsidRDefault="00461DDA" w:rsidP="00DE6917">
                  <w:pPr>
                    <w:jc w:val="center"/>
                    <w:rPr>
                      <w:rFonts w:ascii="Times New Roman" w:hAnsi="Times New Roman" w:cs="Times New Roman"/>
                      <w:b/>
                      <w:szCs w:val="20"/>
                    </w:rPr>
                  </w:pPr>
                </w:p>
              </w:tc>
              <w:tc>
                <w:tcPr>
                  <w:tcW w:w="1548" w:type="dxa"/>
                  <w:vAlign w:val="center"/>
                </w:tcPr>
                <w:p w14:paraId="1B16BA61" w14:textId="77777777" w:rsidR="00461DDA" w:rsidRPr="009A5076" w:rsidRDefault="00461DDA" w:rsidP="00DE6917">
                  <w:pPr>
                    <w:jc w:val="center"/>
                    <w:rPr>
                      <w:rFonts w:ascii="Times New Roman" w:hAnsi="Times New Roman" w:cs="Times New Roman"/>
                      <w:b/>
                      <w:szCs w:val="20"/>
                    </w:rPr>
                  </w:pPr>
                </w:p>
              </w:tc>
              <w:tc>
                <w:tcPr>
                  <w:tcW w:w="2358" w:type="dxa"/>
                  <w:vAlign w:val="center"/>
                </w:tcPr>
                <w:p w14:paraId="51F8CC3E" w14:textId="77777777" w:rsidR="00461DDA" w:rsidRPr="009A5076" w:rsidRDefault="00461DDA" w:rsidP="00DE6917">
                  <w:pPr>
                    <w:jc w:val="center"/>
                    <w:rPr>
                      <w:rFonts w:ascii="Times New Roman" w:hAnsi="Times New Roman" w:cs="Times New Roman"/>
                      <w:b/>
                      <w:szCs w:val="20"/>
                    </w:rPr>
                  </w:pPr>
                </w:p>
              </w:tc>
            </w:tr>
            <w:tr w:rsidR="00461DDA" w:rsidRPr="00370FE4" w14:paraId="5BEAA128" w14:textId="77777777" w:rsidTr="00DE6917">
              <w:trPr>
                <w:jc w:val="center"/>
              </w:trPr>
              <w:tc>
                <w:tcPr>
                  <w:tcW w:w="1158" w:type="dxa"/>
                  <w:vMerge/>
                  <w:vAlign w:val="center"/>
                </w:tcPr>
                <w:p w14:paraId="79414F2A" w14:textId="77777777" w:rsidR="00461DDA" w:rsidRPr="00370FE4" w:rsidRDefault="00461DDA" w:rsidP="00DE6917">
                  <w:pPr>
                    <w:jc w:val="center"/>
                    <w:rPr>
                      <w:rFonts w:ascii="Times New Roman" w:hAnsi="Times New Roman" w:cs="Times New Roman"/>
                      <w:b/>
                      <w:sz w:val="24"/>
                      <w:szCs w:val="24"/>
                    </w:rPr>
                  </w:pPr>
                </w:p>
              </w:tc>
              <w:tc>
                <w:tcPr>
                  <w:tcW w:w="1577" w:type="dxa"/>
                  <w:vAlign w:val="center"/>
                </w:tcPr>
                <w:p w14:paraId="5986E67B" w14:textId="77777777" w:rsidR="00461DDA" w:rsidRPr="00370FE4" w:rsidRDefault="00461DDA" w:rsidP="00DE6917">
                  <w:pPr>
                    <w:jc w:val="center"/>
                    <w:rPr>
                      <w:rFonts w:ascii="Times New Roman" w:hAnsi="Times New Roman" w:cs="Times New Roman"/>
                      <w:b/>
                      <w:sz w:val="24"/>
                      <w:szCs w:val="24"/>
                    </w:rPr>
                  </w:pPr>
                </w:p>
              </w:tc>
              <w:tc>
                <w:tcPr>
                  <w:tcW w:w="1429" w:type="dxa"/>
                  <w:vAlign w:val="center"/>
                </w:tcPr>
                <w:p w14:paraId="2744F000" w14:textId="77777777" w:rsidR="00461DDA" w:rsidRPr="00370FE4" w:rsidRDefault="00461DDA" w:rsidP="00DE6917">
                  <w:pPr>
                    <w:jc w:val="center"/>
                    <w:rPr>
                      <w:rFonts w:ascii="Times New Roman" w:hAnsi="Times New Roman" w:cs="Times New Roman"/>
                      <w:b/>
                      <w:sz w:val="24"/>
                      <w:szCs w:val="24"/>
                    </w:rPr>
                  </w:pPr>
                </w:p>
              </w:tc>
              <w:tc>
                <w:tcPr>
                  <w:tcW w:w="1548" w:type="dxa"/>
                  <w:vAlign w:val="center"/>
                </w:tcPr>
                <w:p w14:paraId="1AB7F862" w14:textId="77777777" w:rsidR="00461DDA" w:rsidRPr="00370FE4" w:rsidRDefault="00461DDA" w:rsidP="00DE6917">
                  <w:pPr>
                    <w:jc w:val="center"/>
                    <w:rPr>
                      <w:rFonts w:ascii="Times New Roman" w:hAnsi="Times New Roman" w:cs="Times New Roman"/>
                      <w:b/>
                      <w:sz w:val="24"/>
                      <w:szCs w:val="24"/>
                    </w:rPr>
                  </w:pPr>
                </w:p>
              </w:tc>
              <w:tc>
                <w:tcPr>
                  <w:tcW w:w="2358" w:type="dxa"/>
                  <w:vAlign w:val="center"/>
                </w:tcPr>
                <w:p w14:paraId="1EC08CEA" w14:textId="77777777" w:rsidR="00461DDA" w:rsidRPr="00370FE4" w:rsidRDefault="00461DDA" w:rsidP="00DE6917">
                  <w:pPr>
                    <w:jc w:val="center"/>
                    <w:rPr>
                      <w:rFonts w:ascii="Times New Roman" w:hAnsi="Times New Roman" w:cs="Times New Roman"/>
                      <w:b/>
                      <w:sz w:val="24"/>
                      <w:szCs w:val="24"/>
                    </w:rPr>
                  </w:pPr>
                </w:p>
              </w:tc>
            </w:tr>
          </w:tbl>
          <w:p/>
          <w:p>
            <w:r>
              <w:t>Team Leader: Trịnh Hoàng Tú</w:t>
            </w:r>
          </w:p>
          <w:p>
            <w:r>
              <w:t>Team Members: N/A (individual submission)</w:t>
            </w:r>
          </w:p>
          <w:p>
            <w:r>
              <w:t>Affiliation: Ho Chi Minh City University of Foreign Languages – Information Technology (HUFLIT)</w:t>
            </w:r>
          </w:p>
          <w:p>
            <w:r>
              <w:t>Advisor: Prof. Kris Singh · Visiting Professor, Tsinghua University · Founder &amp; CEO, SRII</w:t>
            </w:r>
          </w:p>
          <w:p>
            <w:r>
              <w:t>Role: Sole author of the SecureCoating-Vision research prototype, evidence pipeline, and Track 4 final-defense materials. Advisor provides academic guidance only and is not a co-author of the detector metrics.</w:t>
            </w:r>
          </w:p>
        </w:tc>
      </w:tr>
    </w:tbl>
    <w:sectPr w:rsidR="003105E9" w:rsidRPr="008829DA">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4BBD" w14:textId="77777777" w:rsidR="00015FC0" w:rsidRDefault="00015FC0" w:rsidP="0075770B">
      <w:r>
        <w:separator/>
      </w:r>
    </w:p>
  </w:endnote>
  <w:endnote w:type="continuationSeparator" w:id="0">
    <w:p w14:paraId="78E7D1B8" w14:textId="77777777" w:rsidR="00015FC0" w:rsidRDefault="00015FC0"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83F" w14:textId="77777777" w:rsidR="00015FC0" w:rsidRDefault="00015FC0" w:rsidP="0075770B">
      <w:r>
        <w:separator/>
      </w:r>
    </w:p>
  </w:footnote>
  <w:footnote w:type="continuationSeparator" w:id="0">
    <w:p w14:paraId="41711114" w14:textId="77777777" w:rsidR="00015FC0" w:rsidRDefault="00015FC0"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A4C258"/>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1135</Words>
  <Characters>6473</Characters>
  <Application>Microsoft Office Word</Application>
  <DocSecurity>0</DocSecurity>
  <Lines>53</Lines>
  <Paragraphs>15</Paragraphs>
  <ScaleCrop>false</ScaleCrop>
  <Company>Microsoft</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67</cp:revision>
  <dcterms:created xsi:type="dcterms:W3CDTF">2026-04-23T07:51:00Z</dcterms:created>
  <dcterms:modified xsi:type="dcterms:W3CDTF">2026-08-27T14:59:00Z</dcterms:modified>
</cp:coreProperties>
</file>