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E95F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0F7C8C7D"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p w14:paraId="382643C5" w14:textId="77777777" w:rsidR="001E23D2" w:rsidRDefault="001E23D2" w:rsidP="0043707D">
      <w:pPr>
        <w:rPr>
          <w:rFonts w:ascii="Times New Roman" w:eastAsia="STXingkai" w:hAnsi="Times New Roman" w:cs="Times New Roman"/>
          <w:sz w:val="40"/>
        </w:rPr>
      </w:pPr>
    </w:p>
    <w:p w14:paraId="2F02A46D" w14:textId="77777777" w:rsidR="00341585" w:rsidRPr="00370FE4" w:rsidRDefault="00341585" w:rsidP="0043707D">
      <w:pPr>
        <w:rPr>
          <w:rFonts w:ascii="Times New Roman" w:eastAsia="STXingkai" w:hAnsi="Times New Roman" w:cs="Times New Roman"/>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FE8DAF7" w14:textId="77777777" w:rsidTr="00422FAF">
        <w:tc>
          <w:tcPr>
            <w:tcW w:w="3539" w:type="dxa"/>
            <w:vAlign w:val="bottom"/>
          </w:tcPr>
          <w:p w14:paraId="136AA47F"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7D3546C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Privacy-Preserving Edge-to-Cloud AI Platform for Inline Battery Electrode Defect Inspection and Traceable Quality Decisions</w:t>
            </w:r>
          </w:p>
        </w:tc>
      </w:tr>
      <w:tr w:rsidR="001E23D2" w:rsidRPr="00370FE4" w14:paraId="37E21334" w14:textId="77777777" w:rsidTr="00422FAF">
        <w:tc>
          <w:tcPr>
            <w:tcW w:w="3539" w:type="dxa"/>
            <w:vAlign w:val="bottom"/>
          </w:tcPr>
          <w:p w14:paraId="2325290C"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63A479D0"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73C84ABA" w14:textId="77777777" w:rsidTr="00422FAF">
        <w:tc>
          <w:tcPr>
            <w:tcW w:w="3539" w:type="dxa"/>
            <w:vAlign w:val="bottom"/>
          </w:tcPr>
          <w:p w14:paraId="77078848"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77041C8D"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F8E930" w14:textId="77777777" w:rsidTr="00422FAF">
        <w:tc>
          <w:tcPr>
            <w:tcW w:w="3539" w:type="dxa"/>
            <w:vAlign w:val="bottom"/>
          </w:tcPr>
          <w:p w14:paraId="65E7A500"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2B1CC5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527AB4E7" w14:textId="77777777" w:rsidTr="00422FAF">
        <w:tc>
          <w:tcPr>
            <w:tcW w:w="3539" w:type="dxa"/>
            <w:vAlign w:val="bottom"/>
          </w:tcPr>
          <w:p w14:paraId="5D16D07F"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F4984DB"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87AD89C" w14:textId="77777777" w:rsidR="00337E47" w:rsidRPr="00370FE4" w:rsidRDefault="00337E47" w:rsidP="0043707D">
      <w:pPr>
        <w:jc w:val="left"/>
        <w:rPr>
          <w:rFonts w:ascii="Times New Roman" w:eastAsia="STXingkai" w:hAnsi="Times New Roman" w:cs="Times New Roman"/>
          <w:sz w:val="40"/>
        </w:rPr>
      </w:pPr>
    </w:p>
    <w:p w14:paraId="2BD4B895" w14:textId="77777777" w:rsidR="00E560CD" w:rsidRDefault="00E560CD" w:rsidP="0043707D">
      <w:pPr>
        <w:jc w:val="left"/>
        <w:rPr>
          <w:rFonts w:ascii="Times New Roman" w:eastAsia="STXingkai" w:hAnsi="Times New Roman" w:cs="Times New Roman"/>
          <w:sz w:val="40"/>
        </w:rPr>
      </w:pPr>
    </w:p>
    <w:p w14:paraId="1AB9F2C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6AA3EDDF" w14:textId="77777777" w:rsidR="00884B78" w:rsidRPr="008B2F89" w:rsidRDefault="00337E47" w:rsidP="00337E47">
      <w:pPr>
        <w:jc w:val="center"/>
        <w:rPr>
          <w:rFonts w:ascii="Times New Roman" w:hAnsi="Times New Roman" w:cs="Times New Roman"/>
          <w:sz w:val="28"/>
          <w:szCs w:val="28"/>
        </w:rPr>
        <w:sectPr w:rsidR="00884B78" w:rsidRPr="008B2F89">
          <w:pgSz w:w="11906" w:h="16838"/>
          <w:pgMar w:top="1440" w:right="1800" w:bottom="1440" w:left="1800" w:header="851" w:footer="992" w:gutter="0"/>
          <w:cols w:space="425"/>
          <w:docGrid w:type="lines" w:linePitch="312"/>
        </w:sect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753CE3">
        <w:rPr>
          <w:rFonts w:ascii="Times New Roman" w:hAnsi="Times New Roman" w:cs="Times New Roman"/>
          <w:sz w:val="28"/>
          <w:szCs w:val="28"/>
        </w:rPr>
        <w:t>4</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753CE3">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4CFADC6F" w14:textId="77777777" w:rsidTr="009E4586">
        <w:tc>
          <w:tcPr>
            <w:tcW w:w="8296" w:type="dxa"/>
          </w:tcPr>
          <w:p>
            <w:r>
              <w:t>1、Project Overview（e.g., background, state of the art, project objectives, key competitive advantages, etc.）</w:t>
              <w:b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br/>
              <w:br/>
              <w:t>Project Objectives: SecureCoating-Vision is a research prototype for non-destructive coating-defect inspection. It connects RGB segmentation with simulated multimodal registration, physical-coordinate mapping, quality traceability, and industrial protocol adapters. The project objective is to demonstrate a verifiable software workflow and define the evidence required for a future plant pilot.</w:t>
              <w:br/>
              <w:br/>
              <w:t>Current Competitive Advantage: The implementation emphasizes evidence and failure behavior around a conventional YOLOv8-seg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p>
        </w:tc>
      </w:tr>
      <w:tr w:rsidR="009E4586" w:rsidRPr="00370FE4" w14:paraId="6CB0F519" w14:textId="77777777" w:rsidTr="009E4586">
        <w:tc>
          <w:tcPr>
            <w:tcW w:w="8296" w:type="dxa"/>
          </w:tcPr>
          <w:p>
            <w:r>
              <w:t>2、Project Plan（e.g., technical approach, main features/functionalities, project deliverables/outputs, etc.）</w:t>
              <w:br/>
              <w:br/>
              <w:t>Technical Approach: The current prototype runs an RGB YOLOv8-seg inference path locally. Thermal and height streams are available as simulated or injected inputs for registration, metrology, and degraded-mode testing; they are not presented as measurements from plant instruments. The API applies readiness and fail-closed checks before issuing a decision. Traceability records are written to SQLite, certificates use canonical HMAC-SHA256 payloads, and OPC UA/Modbus adapters expose explicit command and acknowledgement contracts.</w:t>
              <w:br/>
              <w:br/>
              <w:t>Main Features/Functionalities: Defect segmentation for the configured coating classes; calibrated coordinate mapping when an approved calibration artifact is supplied; roll/batch and part identity controls; PASS/REJECT/HOLD state handling; bounded uploads and inference concurrency; API-authoritative read-only dashboard telemetry; and hash-verified evaluation/evidence tooling.</w:t>
              <w:br/>
              <w:b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2292BE2A" w14:textId="77777777" w:rsidTr="009E4586">
        <w:tc>
          <w:tcPr>
            <w:tcW w:w="8296" w:type="dxa"/>
          </w:tcPr>
          <w:p>
            <w:r>
              <w:t>3、Key Innovations &amp; Unique Features</w:t>
              <w:br/>
              <w:b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br/>
              <w:br/>
              <w:t>Traceable Inspection Memory: Each inspection is associated with an active roll and batch, claims a unique (batch_id, part_id), remains PENDING until the final gate outcome is known, and can be represented in a signed certificate snapshot.</w:t>
              <w:br/>
              <w:br/>
              <w:t>Reproducible Evaluation Boundaries: The evaluation engine validates artifact hashes, requires an immutable roll-disjoint manifest, uses one instance-matching policy for box and mask metrics, and records model, dataset, manifest, and source-commit provenance.</w:t>
              <w:br/>
              <w:br/>
              <w:t>Practical Deployment Boundary: The dashboard is read-only and API-authoritative.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5C2BA231" w14:textId="77777777" w:rsidTr="009E4586">
        <w:tc>
          <w:tcPr>
            <w:tcW w:w="8296" w:type="dxa"/>
          </w:tcPr>
          <w:p>
            <w:r>
              <w:t>4、Applications &amp; Market Potential</w:t>
              <w:br/>
              <w:br/>
              <w:t>Immediate Application: A future pilot could use the software as an inspection and traceability layer for lithium-ion electrode coating, drying, and coated-foil processes, subject to plant calibration, sensor integration, PLC/HIL testing, and safety approval.</w:t>
              <w:br/>
              <w:br/>
              <w:t>Adjacent Applications: The same evidence-gated workflow may be adapted to other coated materials, separators, fuel-cell components, and high-value continuous-web manufacturing where surface inspection and traceability are important.</w:t>
              <w:b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976AE64" w14:textId="77777777" w:rsidTr="009E4586">
        <w:tc>
          <w:tcPr>
            <w:tcW w:w="8296" w:type="dxa"/>
          </w:tcPr>
          <w:p>
            <w:r>
              <w:t>5、Business Case/Strategy（e.g., go-to-market strategy, business model, market size/opportunity, and operational model, etc.）</w:t>
              <w:b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b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br/>
              <w:br/>
              <w:t>Risk Boundary: The present submission is a software research prototype. It is not sold as a safety-rated controller, regulatory certificate generator, or proven zero-escape production system.</w:t>
            </w:r>
          </w:p>
        </w:tc>
      </w:tr>
      <w:tr w:rsidR="006169BA" w:rsidRPr="00370FE4" w14:paraId="599FC036" w14:textId="77777777" w:rsidTr="009E4586">
        <w:tc>
          <w:tcPr>
            <w:tcW w:w="8296" w:type="dxa"/>
          </w:tcPr>
          <w:p>
            <w:r>
              <w:t>6、Additional Information（e.g., R&amp;D process, lessons learned, etc.）</w:t>
              <w:br/>
              <w:b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current repository records 85 passing tests with no skips in the latest documented validation, but local simulation is not hardware evidence.</w:t>
              <w:br/>
              <w:b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YOLO11 remains a candidate experiment, not a claimed upgrade.</w:t>
              <w:br/>
              <w:br/>
              <w:t>Next Validation Steps: Obtain an independent roll-disjoint dataset, run a controlled YOLOv8n versus YOLO11n/YOLO11s comparison, complete PLC/HIL and safety testing, validate factory calibration, and publish only measurements supported by immutable evidence.</w:t>
            </w:r>
          </w:p>
        </w:tc>
      </w:tr>
      <w:tr w:rsidR="00461DDA" w:rsidRPr="00370FE4" w14:paraId="74681F2E" w14:textId="77777777" w:rsidTr="00DE6917">
        <w:tc>
          <w:tcPr>
            <w:tcW w:w="8296" w:type="dxa"/>
          </w:tcPr>
          <w:p w14:paraId="1EECAFD3" w14:textId="77777777" w:rsidR="00461DDA" w:rsidRPr="000D6E58" w:rsidRDefault="00461DDA" w:rsidP="00DE6917">
            <w:pPr>
              <w:jc w:val="left"/>
              <w:rPr>
                <w:rFonts w:ascii="Times New Roman" w:eastAsia="SimHei" w:hAnsi="Times New Roman" w:cs="Times New Roman"/>
                <w:b/>
                <w:bCs/>
                <w:sz w:val="24"/>
              </w:rPr>
            </w:pPr>
            <w:r w:rsidRPr="000D6E58">
              <w:rPr>
                <w:rFonts w:ascii="Times New Roman" w:eastAsia="SimHei" w:hAnsi="Times New Roman" w:cs="Times New Roman"/>
                <w:b/>
                <w:bCs/>
                <w:sz w:val="24"/>
              </w:rPr>
              <w:t>7</w:t>
            </w:r>
            <w:r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Team Member Information</w:t>
            </w:r>
          </w:p>
          <w:p w14:paraId="7921FCE1" w14:textId="77777777" w:rsidR="00461DDA" w:rsidRPr="00370FE4" w:rsidRDefault="00461DDA" w:rsidP="00DE6917">
            <w:pPr>
              <w:jc w:val="left"/>
              <w:rPr>
                <w:rFonts w:ascii="Times New Roman" w:hAnsi="Times New Roman" w:cs="Times New Roman"/>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4FC500CD" w14:textId="77777777" w:rsidTr="00DE6917">
              <w:trPr>
                <w:jc w:val="center"/>
              </w:trPr>
              <w:tc>
                <w:tcPr>
                  <w:tcW w:w="1158" w:type="dxa"/>
                  <w:vAlign w:val="center"/>
                </w:tcPr>
                <w:p w14:paraId="27EF2BAA"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1D6AF03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2A8DAD65"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1841BF81"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2D5C7A1A"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78A75EC3" w14:textId="77777777" w:rsidTr="00DE6917">
              <w:trPr>
                <w:jc w:val="center"/>
              </w:trPr>
              <w:tc>
                <w:tcPr>
                  <w:tcW w:w="1158" w:type="dxa"/>
                  <w:vAlign w:val="center"/>
                </w:tcPr>
                <w:p w14:paraId="53BC8BA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0346044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301DAD6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7D92B51E"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003B292D"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198E0A13" w14:textId="77777777" w:rsidTr="00DE6917">
              <w:trPr>
                <w:jc w:val="center"/>
              </w:trPr>
              <w:tc>
                <w:tcPr>
                  <w:tcW w:w="1158" w:type="dxa"/>
                  <w:vMerge w:val="restart"/>
                  <w:vAlign w:val="center"/>
                </w:tcPr>
                <w:p w14:paraId="47EB60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2BE66657" w14:textId="4217EA61"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40F0E262" w14:textId="63BC7FEE"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 xml:space="preserve">Founder and CEO, SRII; Visiting Professor, Tsinghua </w:t>
                  </w:r>
                  <w:r w:rsidRPr="006A5AF2">
                    <w:rPr>
                      <w:rFonts w:ascii="Times New Roman" w:hAnsi="Times New Roman" w:cs="Times New Roman"/>
                      <w:szCs w:val="20"/>
                    </w:rPr>
                    <w:lastRenderedPageBreak/>
                    <w:t>University</w:t>
                  </w:r>
                </w:p>
              </w:tc>
              <w:tc>
                <w:tcPr>
                  <w:tcW w:w="1548" w:type="dxa"/>
                  <w:vAlign w:val="center"/>
                </w:tcPr>
                <w:p w14:paraId="7429AE14"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7E08255B" w14:textId="2093E999"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71F14117" w14:textId="77777777" w:rsidTr="00DE6917">
              <w:trPr>
                <w:jc w:val="center"/>
              </w:trPr>
              <w:tc>
                <w:tcPr>
                  <w:tcW w:w="1158" w:type="dxa"/>
                  <w:vMerge/>
                  <w:vAlign w:val="center"/>
                </w:tcPr>
                <w:p w14:paraId="792531A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22EF8B39"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5ABCC75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7397429"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122A0AE9" w14:textId="77777777" w:rsidR="00461DDA" w:rsidRPr="009A5076" w:rsidRDefault="00461DDA" w:rsidP="00DE6917">
                  <w:pPr>
                    <w:jc w:val="center"/>
                    <w:rPr>
                      <w:rFonts w:ascii="Times New Roman" w:hAnsi="Times New Roman" w:cs="Times New Roman"/>
                      <w:b/>
                      <w:szCs w:val="20"/>
                    </w:rPr>
                  </w:pPr>
                </w:p>
              </w:tc>
            </w:tr>
            <w:tr w:rsidR="00461DDA" w:rsidRPr="00370FE4" w14:paraId="77D1FF82" w14:textId="77777777" w:rsidTr="00DE6917">
              <w:trPr>
                <w:jc w:val="center"/>
              </w:trPr>
              <w:tc>
                <w:tcPr>
                  <w:tcW w:w="1158" w:type="dxa"/>
                  <w:vMerge/>
                  <w:vAlign w:val="center"/>
                </w:tcPr>
                <w:p w14:paraId="4F5B1540"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744B28DD"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026BA6B7"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76E77AD7"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29608B70" w14:textId="77777777" w:rsidR="00461DDA" w:rsidRPr="00370FE4" w:rsidRDefault="00461DDA" w:rsidP="00DE6917">
                  <w:pPr>
                    <w:jc w:val="center"/>
                    <w:rPr>
                      <w:rFonts w:ascii="Times New Roman" w:hAnsi="Times New Roman" w:cs="Times New Roman"/>
                      <w:b/>
                      <w:sz w:val="24"/>
                      <w:szCs w:val="24"/>
                    </w:rPr>
                  </w:pPr>
                </w:p>
              </w:tc>
            </w:tr>
          </w:tbl>
          <w:p w14:paraId="4E44046E" w14:textId="77777777" w:rsidR="00461DDA" w:rsidRPr="00370FE4" w:rsidRDefault="00461DDA" w:rsidP="00DE6917">
            <w:pPr>
              <w:jc w:val="left"/>
              <w:rPr>
                <w:rFonts w:ascii="Times New Roman" w:hAnsi="Times New Roman" w:cs="Times New Roman"/>
                <w:sz w:val="24"/>
              </w:rPr>
            </w:pPr>
          </w:p>
          <w:p w14:paraId="226AC083" w14:textId="77777777" w:rsidR="00461DDA" w:rsidRPr="00370FE4" w:rsidRDefault="00461DDA" w:rsidP="00DE6917">
            <w:pPr>
              <w:jc w:val="left"/>
              <w:rPr>
                <w:rFonts w:ascii="Times New Roman" w:hAnsi="Times New Roman" w:cs="Times New Roman"/>
                <w:sz w:val="24"/>
              </w:rPr>
            </w:pPr>
          </w:p>
        </w:tc>
      </w:tr>
      <w:tr w:rsidR="008829DA" w:rsidRPr="00370FE4" w14:paraId="202B9EF5" w14:textId="77777777" w:rsidTr="009E4586">
        <w:tc>
          <w:tcPr>
            <w:tcW w:w="8296" w:type="dxa"/>
          </w:tcPr>
          <w:p w14:paraId="609DC8C2" w14:textId="7F1E5FE8" w:rsidR="00BF1034" w:rsidRDefault="00BF1034"/>
        </w:tc>
      </w:tr>
    </w:tbl>
    <w:p w14:paraId="447DE6BC" w14:textId="77777777" w:rsidR="003105E9" w:rsidRDefault="003105E9" w:rsidP="0043707D">
      <w:pPr>
        <w:jc w:val="left"/>
        <w:rPr>
          <w:rFonts w:asciiTheme="minorEastAsia" w:hAnsiTheme="minorEastAsia"/>
          <w:sz w:val="24"/>
        </w:rPr>
      </w:pPr>
    </w:p>
    <w:p w14:paraId="2D0989F2" w14:textId="77777777" w:rsidR="003105E9" w:rsidRPr="008829DA" w:rsidRDefault="003105E9" w:rsidP="0043707D">
      <w:pPr>
        <w:jc w:val="left"/>
        <w:rPr>
          <w:rFonts w:asciiTheme="minorEastAsia" w:hAnsiTheme="minorEastAsia"/>
          <w:sz w:val="24"/>
        </w:rPr>
      </w:pPr>
    </w:p>
    <w:sectPr w:rsidR="003105E9" w:rsidRPr="008829D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DEC3F" w14:textId="77777777" w:rsidR="003B10FC" w:rsidRDefault="003B10FC" w:rsidP="0075770B">
      <w:r>
        <w:separator/>
      </w:r>
    </w:p>
  </w:endnote>
  <w:endnote w:type="continuationSeparator" w:id="0">
    <w:p w14:paraId="024CF719" w14:textId="77777777" w:rsidR="003B10FC" w:rsidRDefault="003B10FC"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3EE3D" w14:textId="77777777" w:rsidR="003B10FC" w:rsidRDefault="003B10FC" w:rsidP="0075770B">
      <w:r>
        <w:separator/>
      </w:r>
    </w:p>
  </w:footnote>
  <w:footnote w:type="continuationSeparator" w:id="0">
    <w:p w14:paraId="767C2DA7" w14:textId="77777777" w:rsidR="003B10FC" w:rsidRDefault="003B10FC"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3E44E3"/>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5</Pages>
  <Words>1170</Words>
  <Characters>6675</Characters>
  <Application>Microsoft Office Word</Application>
  <DocSecurity>0</DocSecurity>
  <Lines>55</Lines>
  <Paragraphs>15</Paragraphs>
  <ScaleCrop>false</ScaleCrop>
  <Company>Microsoft</Company>
  <LinksUpToDate>false</LinksUpToDate>
  <CharactersWithSpaces>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66</cp:revision>
  <dcterms:created xsi:type="dcterms:W3CDTF">2026-04-23T07:51:00Z</dcterms:created>
  <dcterms:modified xsi:type="dcterms:W3CDTF">2026-07-24T10:33:00Z</dcterms:modified>
</cp:coreProperties>
</file>