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2CF2BD94" w14:textId="77777777" w:rsidR="001E23D2" w:rsidRDefault="001E23D2" w:rsidP="0043707D">
      <w:pPr>
        <w:rPr>
          <w:rFonts w:ascii="Times New Roman" w:eastAsia="STXingkai" w:hAnsi="Times New Roman" w:cs="Times New Roman"/>
          <w:sz w:val="40"/>
        </w:rPr>
      </w:pPr>
    </w:p>
    <w:p w14:paraId="775FA91C"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0DF6AAF7" w14:textId="77777777" w:rsidR="00337E47" w:rsidRPr="00370FE4" w:rsidRDefault="00337E47" w:rsidP="0043707D">
      <w:pPr>
        <w:jc w:val="left"/>
        <w:rPr>
          <w:rFonts w:ascii="Times New Roman" w:eastAsia="STXingkai" w:hAnsi="Times New Roman" w:cs="Times New Roman"/>
          <w:sz w:val="40"/>
        </w:rPr>
      </w:pPr>
    </w:p>
    <w:p w14:paraId="4B096FB1" w14:textId="77777777" w:rsidR="00E560CD" w:rsidRDefault="00E560CD" w:rsidP="0043707D">
      <w:pPr>
        <w:jc w:val="left"/>
        <w:rPr>
          <w:rFonts w:ascii="Times New Roman" w:eastAsia="STXingkai" w:hAnsi="Times New Roman" w:cs="Times New Roman"/>
          <w:sz w:val="40"/>
        </w:rPr>
      </w:pPr>
    </w:p>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b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br/>
              <w:b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br/>
              <w:b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r/>
            <w:r/>
            <w:r/>
            <w:r/>
            <w:r/>
            <w:r/>
            <w:r/>
            <w:r/>
            <w:r/>
            <w:r/>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br/>
              <w:b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canonical HMAC-SHA256 payloads, and OPC UA/Modbus adapters expose explicit command and acknowledgement contracts.</w:t>
              <w:br/>
              <w:b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b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r/>
            <w:r/>
            <w:r/>
            <w:r/>
            <w:r/>
            <w:r/>
            <w:r/>
            <w:r/>
            <w:r/>
            <w:r/>
            <w:r/>
          </w:p>
        </w:tc>
      </w:tr>
      <w:tr w:rsidR="009E4586" w:rsidRPr="00370FE4" w14:paraId="1183F5A9" w14:textId="77777777" w:rsidTr="009E4586">
        <w:tc>
          <w:tcPr>
            <w:tcW w:w="8296" w:type="dxa"/>
          </w:tcPr>
          <w:p w14:paraId="1F3363AF" w14:textId="77777777" w:rsidR="00A47DBB" w:rsidRDefault="00000000">
            <w:r>
              <w:t>3</w:t>
            </w:r>
            <w:r>
              <w:t>、</w:t>
            </w:r>
            <w:r>
              <w:t>Key Innovations &amp; Unique Features</w:t>
            </w:r>
            <w:r>
              <w:br/>
            </w:r>
            <w:r>
              <w:br/>
              <w:t xml:space="preserve">Evidence-Gated Quality Decisions: The system separates model output from release authority. Missing sensors, invalid calibration, inference faults, traceability faults, stale or unconfirmed </w:t>
            </w:r>
            <w:r>
              <w:lastRenderedPageBreak/>
              <w:t>industrial communication, and latched interlocks produce HOLD rather than an inferred PASS.</w:t>
            </w:r>
            <w:r>
              <w:br/>
            </w:r>
            <w:r>
              <w:br/>
              <w:t>Traceable Inspection Memory: Each inspection is associated with an active roll and batch, claims a unique (batch_id, part_id), remains PENDING until the final gate outcome is known, and can be represented in a signed certificate snapshot.</w:t>
            </w:r>
            <w:r>
              <w:br/>
            </w:r>
            <w:r>
              <w:br/>
              <w:t>Reproducible Evaluation Boundaries: The evaluation engine validates artifact hashes, requires an immutable roll-disjoint manifest, uses one instance-matching policy for box and mask metrics, and records model, dataset, manifest, and source-commit provenance.</w:t>
            </w:r>
            <w:r>
              <w:br/>
            </w:r>
            <w:r>
              <w:b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br/>
              <w:b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br/>
              <w:b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br/>
              <w:br/>
              <w:t>Next Validation Steps: Obtain an independent roll-disjoint dataset, hash-verify official LIBAD, complete PLC/HIL and safety testing, validate factory calibration, and publish only measurements supported by immutable evidence.</w:t>
            </w:r>
            <w:r/>
            <w:r/>
            <w:r/>
            <w:r/>
            <w:r/>
            <w:r/>
            <w:r/>
            <w:r/>
            <w:r/>
            <w:r/>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7</w:t>
            </w:r>
            <w:r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3341B16" w14:textId="77777777" w:rsidR="00461DDA" w:rsidRPr="00370FE4" w:rsidRDefault="00461DDA" w:rsidP="00DE6917">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14:paraId="5335658E" w14:textId="77777777" w:rsidR="00461DDA" w:rsidRPr="00370FE4" w:rsidRDefault="00461DDA" w:rsidP="00DE6917">
            <w:pPr>
              <w:jc w:val="left"/>
              <w:rPr>
                <w:rFonts w:ascii="Times New Roman" w:hAnsi="Times New Roman" w:cs="Times New Roman"/>
                <w:sz w:val="24"/>
              </w:rPr>
            </w:pPr>
          </w:p>
          <w:p w14:paraId="4285D340" w14:textId="77777777" w:rsidR="00461DDA" w:rsidRPr="00370FE4" w:rsidRDefault="00461DDA" w:rsidP="00DE6917">
            <w:pPr>
              <w:jc w:val="left"/>
              <w:rPr>
                <w:rFonts w:ascii="Times New Roman" w:hAnsi="Times New Roman" w:cs="Times New Roman"/>
                <w:sz w:val="24"/>
              </w:rPr>
            </w:pPr>
          </w:p>
        </w:tc>
      </w:tr>
      <w:tr w:rsidR="008829DA" w:rsidRPr="00370FE4" w14:paraId="5F4DF1F5" w14:textId="77777777" w:rsidTr="009E4586">
        <w:tc>
          <w:tcPr>
            <w:tcW w:w="8296" w:type="dxa"/>
          </w:tcPr>
          <w:p w14:paraId="3A9ACA41" w14:textId="77777777" w:rsidR="00BF1034" w:rsidRDefault="00BF1034"/>
        </w:tc>
      </w:tr>
    </w:tbl>
    <w:p w14:paraId="4C4835BF" w14:textId="77777777" w:rsidR="003105E9" w:rsidRDefault="003105E9" w:rsidP="0043707D">
      <w:pPr>
        <w:jc w:val="left"/>
        <w:rPr>
          <w:rFonts w:asciiTheme="minorEastAsia" w:hAnsiTheme="minorEastAsia"/>
          <w:sz w:val="24"/>
        </w:rPr>
      </w:pPr>
    </w:p>
    <w:p w14:paraId="0942AFE4"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