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High-Throughput and Zero-Trust Edge-Cloud Pipeline for Inline Battery Electrode Defect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C95F2A">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C95F2A">
        <w:rPr>
          <w:rFonts w:ascii="Times New Roman" w:hAnsi="Times New Roman" w:cs="Times New Roman"/>
          <w:sz w:val="28"/>
          <w:szCs w:val="28"/>
        </w:rPr>
        <w:t>8</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t>1、Project Overview（e.g., background, state of the art, project objectives, key competitive advantages, etc.）</w:t>
              <w:br/>
              <w:b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br/>
              <w:b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This is a validation extension, not a change of topic.</w:t>
              <w:br/>
              <w:b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r/>
            <w:r/>
            <w:r/>
            <w:r/>
            <w:r/>
            <w:r/>
            <w:r/>
            <w:r/>
            <w:r/>
            <w:r/>
            <w:r/>
          </w:p>
        </w:tc>
      </w:tr>
      <w:tr w:rsidR="009E4586" w:rsidRPr="00370FE4" w14:paraId="593346E3" w14:textId="77777777" w:rsidTr="009E4586">
        <w:tc>
          <w:tcPr>
            <w:tcW w:w="8296" w:type="dxa"/>
          </w:tcPr>
          <w:p w14:paraId="366EF17E" w14:textId="77777777" w:rsidR="00A47DBB" w:rsidRDefault="00000000">
            <w:r>
              <w:t>2、Project Plan（e.g., technical approach, main features/functionalities, project deliverables/outputs, etc.）</w:t>
            </w:r>
          </w:p>
          <w:p/>
          <w:p>
            <w: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HMAC-SHA256 authenticated traceability tags, and OPC UA/Modbus adapters expose explicit command and acknowledgement contracts.</w:t>
            </w:r>
          </w:p>
          <w:p/>
          <w:p>
            <w:r>
              <w:t>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Dataset / Diagnose / Traceability / Multimodal); and hash-verified evaluation/evidence tooling.</w:t>
            </w:r>
          </w:p>
          <w:p/>
          <w:p>
            <w: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p>
        </w:tc>
      </w:tr>
      <w:tr w:rsidR="009E4586" w:rsidRPr="00370FE4" w14:paraId="1183F5A9" w14:textId="77777777" w:rsidTr="009E4586">
        <w:tc>
          <w:tcPr>
            <w:tcW w:w="8296" w:type="dxa"/>
          </w:tcPr>
          <w:p w14:paraId="1F3363AF" w14:textId="77777777" w:rsidR="00A47DBB" w:rsidRDefault="00000000">
            <w:r>
              <w:t>3、Key Innovations &amp; Unique Features</w:t>
            </w:r>
          </w:p>
          <w:p/>
          <w:p>
            <w: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r>
          </w:p>
          <w:p/>
          <w:p>
            <w:r>
              <w:t>Traceable Inspection Memory: Each inspection is associated with an active roll and batch, claims a unique (batch_id, part_id), remains PENDING until the final gate outcome is known, and can be represented in an HMAC-SHA256 authenticated certificate snapshot.</w:t>
            </w:r>
          </w:p>
          <w:p/>
          <w:p>
            <w:r>
              <w:t>Reproducible Evaluation Boundaries: The evaluation engine validates immutable dataset manifests, records split provenance, and enforces consistent metric semantics. Independent roll-disjoint evidence remains a required gate for factory qualification.</w:t>
            </w:r>
          </w:p>
          <w:p/>
          <w:p>
            <w: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6、Additional Information（e.g., R&amp;D process, lessons learned, etc.）</w:t>
            </w:r>
          </w:p>
          <w:p/>
          <w:p>
            <w: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r>
          </w:p>
          <w:p/>
          <w:p>
            <w: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r>
          </w:p>
          <w:p/>
          <w:p>
            <w:r>
              <w:t>Next Validation Steps: Reproduce the official-LIBAD validation under the current clean release and preserve current-source provenance; obtain an independent roll-disjoint factory dataset; complete PLC/HIL and plant calibration; and keep any future performance-risk proxy explicitly simulation-validated and separate from electrochemical cell-performance claims.</w:t>
            </w:r>
          </w:p>
          <w:p/>
          <w:p>
            <w:r>
              <w:t>Advisor / 指导老师: Prof. Kris Singh — Visiting Professor, Tsinghua University; Founder &amp; CEO, SRII. Advisory scope: innovation, industrialization, and final-defense guidance.</w:t>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t>7、Team Member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Founder and CEO, SRII; Visiting Professor, Tsinghua University</w:t>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p>
              </w:tc>
            </w:tr>
          </w:tbl>
          <w:p/>
          <w:p>
            <w:r>
              <w:t>Team Leader — Trịnh Hoàng Tú</w:t>
            </w:r>
          </w:p>
          <w:p>
            <w:r>
              <w:t>Team Member — N/A</w:t>
            </w:r>
          </w:p>
        </w:tc>
      </w:tr>
    </w:tbl>
    <w:sectPr w:rsidR="003105E9" w:rsidRPr="008829DA">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