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7F43E" w14:textId="77777777" w:rsidR="00DF30E8" w:rsidRDefault="00000000">
      <w:pPr>
        <w:pStyle w:val="Heading1"/>
      </w:pPr>
      <w:bookmarkStart w:id="0" w:name="X0a11f8481bf4621fbcfc81d8830f4b6689107a8"/>
      <w:bookmarkStart w:id="1" w:name="_Toc223430061"/>
      <w:r>
        <w:t>MPA Business Rules Reference — Current Configuration</w:t>
      </w:r>
      <w:bookmarkEnd w:id="1"/>
    </w:p>
    <w:p w14:paraId="0F86C6B0" w14:textId="5C92A2D6" w:rsidR="00DF30E8" w:rsidRDefault="00000000" w:rsidP="00C555C1">
      <w:pPr>
        <w:pStyle w:val="FirstParagraph"/>
      </w:pPr>
      <w:r>
        <w:rPr>
          <w:b/>
          <w:bCs/>
        </w:rPr>
        <w:t>Monthly Performance Analysis Pipeline</w:t>
      </w:r>
      <w:r>
        <w:br/>
        <w:t>Third Horizon Executive Dashboard v2.1</w:t>
      </w:r>
      <w:r>
        <w:br/>
        <w:t xml:space="preserve">Generated from codebase: </w:t>
      </w:r>
      <w:proofErr w:type="spellStart"/>
      <w:r>
        <w:rPr>
          <w:rStyle w:val="VerbatimChar"/>
        </w:rPr>
        <w:t>src</w:t>
      </w:r>
      <w:proofErr w:type="spellEnd"/>
      <w:r>
        <w:rPr>
          <w:rStyle w:val="VerbatimChar"/>
        </w:rPr>
        <w:t>/lib/</w:t>
      </w:r>
      <w:proofErr w:type="spellStart"/>
      <w:r>
        <w:rPr>
          <w:rStyle w:val="VerbatimChar"/>
        </w:rPr>
        <w:t>mpa</w:t>
      </w:r>
      <w:proofErr w:type="spellEnd"/>
      <w:r>
        <w:rPr>
          <w:rStyle w:val="VerbatimChar"/>
        </w:rPr>
        <w:t>/</w:t>
      </w:r>
      <w:r>
        <w:t xml:space="preserve"> — March 2026</w:t>
      </w:r>
    </w:p>
    <w:p w14:paraId="27913AFB" w14:textId="77777777" w:rsidR="00C555C1" w:rsidRDefault="00C555C1" w:rsidP="00C555C1">
      <w:pPr>
        <w:pStyle w:val="BodyText"/>
      </w:pPr>
    </w:p>
    <w:p w14:paraId="04F76A1F" w14:textId="77777777" w:rsidR="00C555C1" w:rsidRPr="00C555C1" w:rsidRDefault="00C555C1" w:rsidP="00C555C1">
      <w:pPr>
        <w:pStyle w:val="BodyText"/>
      </w:pPr>
    </w:p>
    <w:sdt>
      <w:sdtPr>
        <w:id w:val="1698735603"/>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43534D74" w14:textId="681D7199" w:rsidR="00C555C1" w:rsidRDefault="00C555C1">
          <w:pPr>
            <w:pStyle w:val="TOCHeading"/>
          </w:pPr>
          <w:r>
            <w:t>Table of Contents</w:t>
          </w:r>
        </w:p>
        <w:p w14:paraId="45F06510" w14:textId="0A812F7D" w:rsidR="00C555C1" w:rsidRDefault="00C555C1">
          <w:pPr>
            <w:pStyle w:val="TOC1"/>
            <w:tabs>
              <w:tab w:val="right" w:leader="dot" w:pos="9350"/>
            </w:tabs>
            <w:rPr>
              <w:rFonts w:eastAsiaTheme="minorEastAsia"/>
              <w:b w:val="0"/>
              <w:bCs w:val="0"/>
              <w:i w:val="0"/>
              <w:iCs w:val="0"/>
              <w:noProof/>
              <w:kern w:val="2"/>
              <w14:ligatures w14:val="standardContextual"/>
            </w:rPr>
          </w:pPr>
          <w:r>
            <w:rPr>
              <w:i w:val="0"/>
              <w:iCs w:val="0"/>
            </w:rPr>
            <w:fldChar w:fldCharType="begin"/>
          </w:r>
          <w:r>
            <w:rPr>
              <w:i w:val="0"/>
              <w:iCs w:val="0"/>
            </w:rPr>
            <w:instrText xml:space="preserve"> TOC \o "1-2" \h \z \u </w:instrText>
          </w:r>
          <w:r>
            <w:rPr>
              <w:i w:val="0"/>
              <w:iCs w:val="0"/>
            </w:rPr>
            <w:fldChar w:fldCharType="separate"/>
          </w:r>
          <w:hyperlink w:anchor="_Toc223430061" w:history="1">
            <w:r w:rsidRPr="00EB5A5B">
              <w:rPr>
                <w:rStyle w:val="Hyperlink"/>
                <w:noProof/>
              </w:rPr>
              <w:t>MPA Business Rules Reference — Current Configuration</w:t>
            </w:r>
            <w:r>
              <w:rPr>
                <w:noProof/>
                <w:webHidden/>
              </w:rPr>
              <w:tab/>
            </w:r>
            <w:r>
              <w:rPr>
                <w:noProof/>
                <w:webHidden/>
              </w:rPr>
              <w:fldChar w:fldCharType="begin"/>
            </w:r>
            <w:r>
              <w:rPr>
                <w:noProof/>
                <w:webHidden/>
              </w:rPr>
              <w:instrText xml:space="preserve"> PAGEREF _Toc223430061 \h </w:instrText>
            </w:r>
            <w:r>
              <w:rPr>
                <w:noProof/>
                <w:webHidden/>
              </w:rPr>
            </w:r>
            <w:r>
              <w:rPr>
                <w:noProof/>
                <w:webHidden/>
              </w:rPr>
              <w:fldChar w:fldCharType="separate"/>
            </w:r>
            <w:r>
              <w:rPr>
                <w:noProof/>
                <w:webHidden/>
              </w:rPr>
              <w:t>1</w:t>
            </w:r>
            <w:r>
              <w:rPr>
                <w:noProof/>
                <w:webHidden/>
              </w:rPr>
              <w:fldChar w:fldCharType="end"/>
            </w:r>
          </w:hyperlink>
        </w:p>
        <w:p w14:paraId="3261EC9B" w14:textId="4F063F09" w:rsidR="00C555C1" w:rsidRDefault="00C555C1">
          <w:pPr>
            <w:pStyle w:val="TOC2"/>
            <w:tabs>
              <w:tab w:val="right" w:leader="dot" w:pos="9350"/>
            </w:tabs>
            <w:rPr>
              <w:rFonts w:eastAsiaTheme="minorEastAsia"/>
              <w:b w:val="0"/>
              <w:bCs w:val="0"/>
              <w:noProof/>
              <w:kern w:val="2"/>
              <w:sz w:val="24"/>
              <w:szCs w:val="24"/>
              <w14:ligatures w14:val="standardContextual"/>
            </w:rPr>
          </w:pPr>
          <w:hyperlink w:anchor="_Toc223430062" w:history="1">
            <w:r w:rsidRPr="00EB5A5B">
              <w:rPr>
                <w:rStyle w:val="Hyperlink"/>
                <w:noProof/>
              </w:rPr>
              <w:t>1. Input Files — What Gets Pulled</w:t>
            </w:r>
            <w:r>
              <w:rPr>
                <w:noProof/>
                <w:webHidden/>
              </w:rPr>
              <w:tab/>
            </w:r>
            <w:r>
              <w:rPr>
                <w:noProof/>
                <w:webHidden/>
              </w:rPr>
              <w:fldChar w:fldCharType="begin"/>
            </w:r>
            <w:r>
              <w:rPr>
                <w:noProof/>
                <w:webHidden/>
              </w:rPr>
              <w:instrText xml:space="preserve"> PAGEREF _Toc223430062 \h </w:instrText>
            </w:r>
            <w:r>
              <w:rPr>
                <w:noProof/>
                <w:webHidden/>
              </w:rPr>
            </w:r>
            <w:r>
              <w:rPr>
                <w:noProof/>
                <w:webHidden/>
              </w:rPr>
              <w:fldChar w:fldCharType="separate"/>
            </w:r>
            <w:r>
              <w:rPr>
                <w:noProof/>
                <w:webHidden/>
              </w:rPr>
              <w:t>1</w:t>
            </w:r>
            <w:r>
              <w:rPr>
                <w:noProof/>
                <w:webHidden/>
              </w:rPr>
              <w:fldChar w:fldCharType="end"/>
            </w:r>
          </w:hyperlink>
        </w:p>
        <w:p w14:paraId="71BECF52" w14:textId="33784A61" w:rsidR="00C555C1" w:rsidRDefault="00C555C1">
          <w:pPr>
            <w:pStyle w:val="TOC2"/>
            <w:tabs>
              <w:tab w:val="right" w:leader="dot" w:pos="9350"/>
            </w:tabs>
            <w:rPr>
              <w:rFonts w:eastAsiaTheme="minorEastAsia"/>
              <w:b w:val="0"/>
              <w:bCs w:val="0"/>
              <w:noProof/>
              <w:kern w:val="2"/>
              <w:sz w:val="24"/>
              <w:szCs w:val="24"/>
              <w14:ligatures w14:val="standardContextual"/>
            </w:rPr>
          </w:pPr>
          <w:hyperlink w:anchor="_Toc223430063" w:history="1">
            <w:r w:rsidRPr="00EB5A5B">
              <w:rPr>
                <w:rStyle w:val="Hyperlink"/>
                <w:noProof/>
              </w:rPr>
              <w:t>2. Project Classification Rules</w:t>
            </w:r>
            <w:r>
              <w:rPr>
                <w:noProof/>
                <w:webHidden/>
              </w:rPr>
              <w:tab/>
            </w:r>
            <w:r>
              <w:rPr>
                <w:noProof/>
                <w:webHidden/>
              </w:rPr>
              <w:fldChar w:fldCharType="begin"/>
            </w:r>
            <w:r>
              <w:rPr>
                <w:noProof/>
                <w:webHidden/>
              </w:rPr>
              <w:instrText xml:space="preserve"> PAGEREF _Toc223430063 \h </w:instrText>
            </w:r>
            <w:r>
              <w:rPr>
                <w:noProof/>
                <w:webHidden/>
              </w:rPr>
            </w:r>
            <w:r>
              <w:rPr>
                <w:noProof/>
                <w:webHidden/>
              </w:rPr>
              <w:fldChar w:fldCharType="separate"/>
            </w:r>
            <w:r>
              <w:rPr>
                <w:noProof/>
                <w:webHidden/>
              </w:rPr>
              <w:t>5</w:t>
            </w:r>
            <w:r>
              <w:rPr>
                <w:noProof/>
                <w:webHidden/>
              </w:rPr>
              <w:fldChar w:fldCharType="end"/>
            </w:r>
          </w:hyperlink>
        </w:p>
        <w:p w14:paraId="402474E6" w14:textId="733BDCC3" w:rsidR="00C555C1" w:rsidRDefault="00C555C1">
          <w:pPr>
            <w:pStyle w:val="TOC2"/>
            <w:tabs>
              <w:tab w:val="right" w:leader="dot" w:pos="9350"/>
            </w:tabs>
            <w:rPr>
              <w:rFonts w:eastAsiaTheme="minorEastAsia"/>
              <w:b w:val="0"/>
              <w:bCs w:val="0"/>
              <w:noProof/>
              <w:kern w:val="2"/>
              <w:sz w:val="24"/>
              <w:szCs w:val="24"/>
              <w14:ligatures w14:val="standardContextual"/>
            </w:rPr>
          </w:pPr>
          <w:hyperlink w:anchor="_Toc223430064" w:history="1">
            <w:r w:rsidRPr="00EB5A5B">
              <w:rPr>
                <w:rStyle w:val="Hyperlink"/>
                <w:noProof/>
              </w:rPr>
              <w:t>3. Category Mapping</w:t>
            </w:r>
            <w:r>
              <w:rPr>
                <w:noProof/>
                <w:webHidden/>
              </w:rPr>
              <w:tab/>
            </w:r>
            <w:r>
              <w:rPr>
                <w:noProof/>
                <w:webHidden/>
              </w:rPr>
              <w:fldChar w:fldCharType="begin"/>
            </w:r>
            <w:r>
              <w:rPr>
                <w:noProof/>
                <w:webHidden/>
              </w:rPr>
              <w:instrText xml:space="preserve"> PAGEREF _Toc223430064 \h </w:instrText>
            </w:r>
            <w:r>
              <w:rPr>
                <w:noProof/>
                <w:webHidden/>
              </w:rPr>
            </w:r>
            <w:r>
              <w:rPr>
                <w:noProof/>
                <w:webHidden/>
              </w:rPr>
              <w:fldChar w:fldCharType="separate"/>
            </w:r>
            <w:r>
              <w:rPr>
                <w:noProof/>
                <w:webHidden/>
              </w:rPr>
              <w:t>7</w:t>
            </w:r>
            <w:r>
              <w:rPr>
                <w:noProof/>
                <w:webHidden/>
              </w:rPr>
              <w:fldChar w:fldCharType="end"/>
            </w:r>
          </w:hyperlink>
        </w:p>
        <w:p w14:paraId="51A57BFD" w14:textId="0B80BD2E" w:rsidR="00C555C1" w:rsidRDefault="00C555C1">
          <w:pPr>
            <w:pStyle w:val="TOC2"/>
            <w:tabs>
              <w:tab w:val="right" w:leader="dot" w:pos="9350"/>
            </w:tabs>
            <w:rPr>
              <w:rFonts w:eastAsiaTheme="minorEastAsia"/>
              <w:b w:val="0"/>
              <w:bCs w:val="0"/>
              <w:noProof/>
              <w:kern w:val="2"/>
              <w:sz w:val="24"/>
              <w:szCs w:val="24"/>
              <w14:ligatures w14:val="standardContextual"/>
            </w:rPr>
          </w:pPr>
          <w:hyperlink w:anchor="_Toc223430065" w:history="1">
            <w:r w:rsidRPr="00EB5A5B">
              <w:rPr>
                <w:rStyle w:val="Hyperlink"/>
                <w:noProof/>
              </w:rPr>
              <w:t>4. Direct Cost Computation</w:t>
            </w:r>
            <w:r>
              <w:rPr>
                <w:noProof/>
                <w:webHidden/>
              </w:rPr>
              <w:tab/>
            </w:r>
            <w:r>
              <w:rPr>
                <w:noProof/>
                <w:webHidden/>
              </w:rPr>
              <w:fldChar w:fldCharType="begin"/>
            </w:r>
            <w:r>
              <w:rPr>
                <w:noProof/>
                <w:webHidden/>
              </w:rPr>
              <w:instrText xml:space="preserve"> PAGEREF _Toc223430065 \h </w:instrText>
            </w:r>
            <w:r>
              <w:rPr>
                <w:noProof/>
                <w:webHidden/>
              </w:rPr>
            </w:r>
            <w:r>
              <w:rPr>
                <w:noProof/>
                <w:webHidden/>
              </w:rPr>
              <w:fldChar w:fldCharType="separate"/>
            </w:r>
            <w:r>
              <w:rPr>
                <w:noProof/>
                <w:webHidden/>
              </w:rPr>
              <w:t>8</w:t>
            </w:r>
            <w:r>
              <w:rPr>
                <w:noProof/>
                <w:webHidden/>
              </w:rPr>
              <w:fldChar w:fldCharType="end"/>
            </w:r>
          </w:hyperlink>
        </w:p>
        <w:p w14:paraId="549269FB" w14:textId="713176AA" w:rsidR="00C555C1" w:rsidRDefault="00C555C1">
          <w:pPr>
            <w:pStyle w:val="TOC2"/>
            <w:tabs>
              <w:tab w:val="right" w:leader="dot" w:pos="9350"/>
            </w:tabs>
            <w:rPr>
              <w:rFonts w:eastAsiaTheme="minorEastAsia"/>
              <w:b w:val="0"/>
              <w:bCs w:val="0"/>
              <w:noProof/>
              <w:kern w:val="2"/>
              <w:sz w:val="24"/>
              <w:szCs w:val="24"/>
              <w14:ligatures w14:val="standardContextual"/>
            </w:rPr>
          </w:pPr>
          <w:hyperlink w:anchor="_Toc223430066" w:history="1">
            <w:r w:rsidRPr="00EB5A5B">
              <w:rPr>
                <w:rStyle w:val="Hyperlink"/>
                <w:noProof/>
              </w:rPr>
              <w:t>5. Overhead Pool Calculation</w:t>
            </w:r>
            <w:r>
              <w:rPr>
                <w:noProof/>
                <w:webHidden/>
              </w:rPr>
              <w:tab/>
            </w:r>
            <w:r>
              <w:rPr>
                <w:noProof/>
                <w:webHidden/>
              </w:rPr>
              <w:fldChar w:fldCharType="begin"/>
            </w:r>
            <w:r>
              <w:rPr>
                <w:noProof/>
                <w:webHidden/>
              </w:rPr>
              <w:instrText xml:space="preserve"> PAGEREF _Toc223430066 \h </w:instrText>
            </w:r>
            <w:r>
              <w:rPr>
                <w:noProof/>
                <w:webHidden/>
              </w:rPr>
            </w:r>
            <w:r>
              <w:rPr>
                <w:noProof/>
                <w:webHidden/>
              </w:rPr>
              <w:fldChar w:fldCharType="separate"/>
            </w:r>
            <w:r>
              <w:rPr>
                <w:noProof/>
                <w:webHidden/>
              </w:rPr>
              <w:t>9</w:t>
            </w:r>
            <w:r>
              <w:rPr>
                <w:noProof/>
                <w:webHidden/>
              </w:rPr>
              <w:fldChar w:fldCharType="end"/>
            </w:r>
          </w:hyperlink>
        </w:p>
        <w:p w14:paraId="0FF8B08E" w14:textId="1CECE058" w:rsidR="00C555C1" w:rsidRDefault="00C555C1">
          <w:pPr>
            <w:pStyle w:val="TOC2"/>
            <w:tabs>
              <w:tab w:val="right" w:leader="dot" w:pos="9350"/>
            </w:tabs>
            <w:rPr>
              <w:rFonts w:eastAsiaTheme="minorEastAsia"/>
              <w:b w:val="0"/>
              <w:bCs w:val="0"/>
              <w:noProof/>
              <w:kern w:val="2"/>
              <w:sz w:val="24"/>
              <w:szCs w:val="24"/>
              <w14:ligatures w14:val="standardContextual"/>
            </w:rPr>
          </w:pPr>
          <w:hyperlink w:anchor="_Toc223430067" w:history="1">
            <w:r w:rsidRPr="00EB5A5B">
              <w:rPr>
                <w:rStyle w:val="Hyperlink"/>
                <w:noProof/>
              </w:rPr>
              <w:t>6. Overhead Allocation Rules</w:t>
            </w:r>
            <w:r>
              <w:rPr>
                <w:noProof/>
                <w:webHidden/>
              </w:rPr>
              <w:tab/>
            </w:r>
            <w:r>
              <w:rPr>
                <w:noProof/>
                <w:webHidden/>
              </w:rPr>
              <w:fldChar w:fldCharType="begin"/>
            </w:r>
            <w:r>
              <w:rPr>
                <w:noProof/>
                <w:webHidden/>
              </w:rPr>
              <w:instrText xml:space="preserve"> PAGEREF _Toc223430067 \h </w:instrText>
            </w:r>
            <w:r>
              <w:rPr>
                <w:noProof/>
                <w:webHidden/>
              </w:rPr>
            </w:r>
            <w:r>
              <w:rPr>
                <w:noProof/>
                <w:webHidden/>
              </w:rPr>
              <w:fldChar w:fldCharType="separate"/>
            </w:r>
            <w:r>
              <w:rPr>
                <w:noProof/>
                <w:webHidden/>
              </w:rPr>
              <w:t>10</w:t>
            </w:r>
            <w:r>
              <w:rPr>
                <w:noProof/>
                <w:webHidden/>
              </w:rPr>
              <w:fldChar w:fldCharType="end"/>
            </w:r>
          </w:hyperlink>
        </w:p>
        <w:p w14:paraId="529A006A" w14:textId="022EA29E" w:rsidR="00C555C1" w:rsidRDefault="00C555C1">
          <w:pPr>
            <w:pStyle w:val="TOC2"/>
            <w:tabs>
              <w:tab w:val="right" w:leader="dot" w:pos="9350"/>
            </w:tabs>
            <w:rPr>
              <w:rFonts w:eastAsiaTheme="minorEastAsia"/>
              <w:b w:val="0"/>
              <w:bCs w:val="0"/>
              <w:noProof/>
              <w:kern w:val="2"/>
              <w:sz w:val="24"/>
              <w:szCs w:val="24"/>
              <w14:ligatures w14:val="standardContextual"/>
            </w:rPr>
          </w:pPr>
          <w:hyperlink w:anchor="_Toc223430068" w:history="1">
            <w:r w:rsidRPr="00EB5A5B">
              <w:rPr>
                <w:rStyle w:val="Hyperlink"/>
                <w:noProof/>
              </w:rPr>
              <w:t>7. Margin Calculation</w:t>
            </w:r>
            <w:r>
              <w:rPr>
                <w:noProof/>
                <w:webHidden/>
              </w:rPr>
              <w:tab/>
            </w:r>
            <w:r>
              <w:rPr>
                <w:noProof/>
                <w:webHidden/>
              </w:rPr>
              <w:fldChar w:fldCharType="begin"/>
            </w:r>
            <w:r>
              <w:rPr>
                <w:noProof/>
                <w:webHidden/>
              </w:rPr>
              <w:instrText xml:space="preserve"> PAGEREF _Toc223430068 \h </w:instrText>
            </w:r>
            <w:r>
              <w:rPr>
                <w:noProof/>
                <w:webHidden/>
              </w:rPr>
            </w:r>
            <w:r>
              <w:rPr>
                <w:noProof/>
                <w:webHidden/>
              </w:rPr>
              <w:fldChar w:fldCharType="separate"/>
            </w:r>
            <w:r>
              <w:rPr>
                <w:noProof/>
                <w:webHidden/>
              </w:rPr>
              <w:t>11</w:t>
            </w:r>
            <w:r>
              <w:rPr>
                <w:noProof/>
                <w:webHidden/>
              </w:rPr>
              <w:fldChar w:fldCharType="end"/>
            </w:r>
          </w:hyperlink>
        </w:p>
        <w:p w14:paraId="790ED1A0" w14:textId="5E69A5BB" w:rsidR="00C555C1" w:rsidRDefault="00C555C1">
          <w:pPr>
            <w:pStyle w:val="TOC2"/>
            <w:tabs>
              <w:tab w:val="right" w:leader="dot" w:pos="9350"/>
            </w:tabs>
            <w:rPr>
              <w:rFonts w:eastAsiaTheme="minorEastAsia"/>
              <w:b w:val="0"/>
              <w:bCs w:val="0"/>
              <w:noProof/>
              <w:kern w:val="2"/>
              <w:sz w:val="24"/>
              <w:szCs w:val="24"/>
              <w14:ligatures w14:val="standardContextual"/>
            </w:rPr>
          </w:pPr>
          <w:hyperlink w:anchor="_Toc223430069" w:history="1">
            <w:r w:rsidRPr="00EB5A5B">
              <w:rPr>
                <w:rStyle w:val="Hyperlink"/>
                <w:noProof/>
              </w:rPr>
              <w:t>8. Validation Checks</w:t>
            </w:r>
            <w:r>
              <w:rPr>
                <w:noProof/>
                <w:webHidden/>
              </w:rPr>
              <w:tab/>
            </w:r>
            <w:r>
              <w:rPr>
                <w:noProof/>
                <w:webHidden/>
              </w:rPr>
              <w:fldChar w:fldCharType="begin"/>
            </w:r>
            <w:r>
              <w:rPr>
                <w:noProof/>
                <w:webHidden/>
              </w:rPr>
              <w:instrText xml:space="preserve"> PAGEREF _Toc223430069 \h </w:instrText>
            </w:r>
            <w:r>
              <w:rPr>
                <w:noProof/>
                <w:webHidden/>
              </w:rPr>
            </w:r>
            <w:r>
              <w:rPr>
                <w:noProof/>
                <w:webHidden/>
              </w:rPr>
              <w:fldChar w:fldCharType="separate"/>
            </w:r>
            <w:r>
              <w:rPr>
                <w:noProof/>
                <w:webHidden/>
              </w:rPr>
              <w:t>12</w:t>
            </w:r>
            <w:r>
              <w:rPr>
                <w:noProof/>
                <w:webHidden/>
              </w:rPr>
              <w:fldChar w:fldCharType="end"/>
            </w:r>
          </w:hyperlink>
        </w:p>
        <w:p w14:paraId="488CCF46" w14:textId="4770701D" w:rsidR="00C555C1" w:rsidRDefault="00C555C1">
          <w:pPr>
            <w:pStyle w:val="TOC2"/>
            <w:tabs>
              <w:tab w:val="right" w:leader="dot" w:pos="9350"/>
            </w:tabs>
            <w:rPr>
              <w:rFonts w:eastAsiaTheme="minorEastAsia"/>
              <w:b w:val="0"/>
              <w:bCs w:val="0"/>
              <w:noProof/>
              <w:kern w:val="2"/>
              <w:sz w:val="24"/>
              <w:szCs w:val="24"/>
              <w14:ligatures w14:val="standardContextual"/>
            </w:rPr>
          </w:pPr>
          <w:hyperlink w:anchor="_Toc223430070" w:history="1">
            <w:r w:rsidRPr="00EB5A5B">
              <w:rPr>
                <w:rStyle w:val="Hyperlink"/>
                <w:noProof/>
              </w:rPr>
              <w:t>Summary of Adjustable Values</w:t>
            </w:r>
            <w:r>
              <w:rPr>
                <w:noProof/>
                <w:webHidden/>
              </w:rPr>
              <w:tab/>
            </w:r>
            <w:r>
              <w:rPr>
                <w:noProof/>
                <w:webHidden/>
              </w:rPr>
              <w:fldChar w:fldCharType="begin"/>
            </w:r>
            <w:r>
              <w:rPr>
                <w:noProof/>
                <w:webHidden/>
              </w:rPr>
              <w:instrText xml:space="preserve"> PAGEREF _Toc223430070 \h </w:instrText>
            </w:r>
            <w:r>
              <w:rPr>
                <w:noProof/>
                <w:webHidden/>
              </w:rPr>
            </w:r>
            <w:r>
              <w:rPr>
                <w:noProof/>
                <w:webHidden/>
              </w:rPr>
              <w:fldChar w:fldCharType="separate"/>
            </w:r>
            <w:r>
              <w:rPr>
                <w:noProof/>
                <w:webHidden/>
              </w:rPr>
              <w:t>13</w:t>
            </w:r>
            <w:r>
              <w:rPr>
                <w:noProof/>
                <w:webHidden/>
              </w:rPr>
              <w:fldChar w:fldCharType="end"/>
            </w:r>
          </w:hyperlink>
        </w:p>
        <w:p w14:paraId="6DCF3ECB" w14:textId="5CF89CB3" w:rsidR="00C555C1" w:rsidRDefault="00C555C1">
          <w:r>
            <w:rPr>
              <w:i/>
              <w:iCs/>
            </w:rPr>
            <w:fldChar w:fldCharType="end"/>
          </w:r>
        </w:p>
      </w:sdtContent>
    </w:sdt>
    <w:p w14:paraId="191FA43F" w14:textId="77777777" w:rsidR="00C555C1" w:rsidRDefault="00C555C1"/>
    <w:p w14:paraId="33D9381E" w14:textId="77777777" w:rsidR="00C555C1" w:rsidRDefault="00C555C1">
      <w:pPr>
        <w:pStyle w:val="Heading2"/>
      </w:pPr>
      <w:bookmarkStart w:id="2" w:name="input-files-what-gets-pulled"/>
    </w:p>
    <w:p w14:paraId="60202C2F" w14:textId="77777777" w:rsidR="00C555C1" w:rsidRDefault="00C555C1">
      <w:pPr>
        <w:pStyle w:val="Heading2"/>
      </w:pPr>
    </w:p>
    <w:p w14:paraId="2A986DB3" w14:textId="77777777" w:rsidR="00C555C1" w:rsidRDefault="00C555C1">
      <w:pPr>
        <w:rPr>
          <w:rFonts w:asciiTheme="majorHAnsi" w:eastAsiaTheme="majorEastAsia" w:hAnsiTheme="majorHAnsi" w:cstheme="majorBidi"/>
          <w:color w:val="0F4761" w:themeColor="accent1" w:themeShade="BF"/>
          <w:sz w:val="32"/>
          <w:szCs w:val="32"/>
        </w:rPr>
      </w:pPr>
      <w:bookmarkStart w:id="3" w:name="_Toc223430062"/>
      <w:r>
        <w:br w:type="page"/>
      </w:r>
    </w:p>
    <w:p w14:paraId="40810B9B" w14:textId="3F89F568" w:rsidR="00DF30E8" w:rsidRDefault="00000000">
      <w:pPr>
        <w:pStyle w:val="Heading2"/>
      </w:pPr>
      <w:r>
        <w:lastRenderedPageBreak/>
        <w:t>1. Input Files — What Gets Pulled</w:t>
      </w:r>
      <w:bookmarkEnd w:id="3"/>
    </w:p>
    <w:p w14:paraId="31A6FF98" w14:textId="77777777" w:rsidR="00DF30E8" w:rsidRDefault="00000000">
      <w:pPr>
        <w:pStyle w:val="FirstParagraph"/>
      </w:pPr>
      <w:r>
        <w:t>The pipeline ingests 5 Excel files. Each is uploaded through the dashboard and stored in Supabase before processing.</w:t>
      </w:r>
    </w:p>
    <w:p w14:paraId="6EA82C3A" w14:textId="77777777" w:rsidR="00DF30E8" w:rsidRDefault="00000000">
      <w:pPr>
        <w:pStyle w:val="Heading3"/>
      </w:pPr>
      <w:bookmarkStart w:id="4" w:name="pro-forma-workbook"/>
      <w:r>
        <w:t>1.1 Pro Forma Workbook</w:t>
      </w:r>
    </w:p>
    <w:p w14:paraId="44B5AE3F" w14:textId="77777777" w:rsidR="00DF30E8" w:rsidRDefault="00000000">
      <w:pPr>
        <w:pStyle w:val="FirstParagraph"/>
      </w:pPr>
      <w:r>
        <w:rPr>
          <w:b/>
          <w:bCs/>
        </w:rPr>
        <w:t>Source:</w:t>
      </w:r>
      <w:r>
        <w:t xml:space="preserve"> Excel workbook, sheet named </w:t>
      </w:r>
      <w:r>
        <w:rPr>
          <w:rStyle w:val="VerbatimChar"/>
        </w:rPr>
        <w:t>PRO FORMA 2025</w:t>
      </w:r>
    </w:p>
    <w:p w14:paraId="08EA866D" w14:textId="77777777" w:rsidR="00DF30E8" w:rsidRDefault="00000000">
      <w:pPr>
        <w:pStyle w:val="BodyText"/>
      </w:pPr>
      <w:r>
        <w:t>This is the single source of truth for which projects generate revenue and how much.</w:t>
      </w:r>
    </w:p>
    <w:p w14:paraId="2833A76A" w14:textId="77777777" w:rsidR="00DF30E8" w:rsidRDefault="00000000">
      <w:pPr>
        <w:pStyle w:val="BodyText"/>
      </w:pPr>
      <w:r>
        <w:rPr>
          <w:b/>
          <w:bCs/>
        </w:rPr>
        <w:t>How it’s parsed:</w:t>
      </w:r>
    </w:p>
    <w:p w14:paraId="60AA609A" w14:textId="77777777" w:rsidR="00DF30E8" w:rsidRDefault="00000000">
      <w:pPr>
        <w:pStyle w:val="Compact"/>
        <w:numPr>
          <w:ilvl w:val="0"/>
          <w:numId w:val="2"/>
        </w:numPr>
      </w:pPr>
      <w:r>
        <w:t>Finds the header row by scanning the first 10 rows for a sequence containing Jan, Feb, Mar.</w:t>
      </w:r>
    </w:p>
    <w:p w14:paraId="0348DEA6" w14:textId="77777777" w:rsidR="00DF30E8" w:rsidRDefault="00000000">
      <w:pPr>
        <w:pStyle w:val="Compact"/>
        <w:numPr>
          <w:ilvl w:val="0"/>
          <w:numId w:val="2"/>
        </w:numPr>
      </w:pPr>
      <w:r>
        <w:t>Locates the target month’s column by matching the month abbreviation (e.g., “Nov” for November).</w:t>
      </w:r>
    </w:p>
    <w:p w14:paraId="1D922C98" w14:textId="77777777" w:rsidR="00DF30E8" w:rsidRDefault="00000000">
      <w:pPr>
        <w:pStyle w:val="Compact"/>
        <w:numPr>
          <w:ilvl w:val="0"/>
          <w:numId w:val="2"/>
        </w:numPr>
      </w:pPr>
      <w:r>
        <w:rPr>
          <w:b/>
          <w:bCs/>
        </w:rPr>
        <w:t>Column A</w:t>
      </w:r>
      <w:r>
        <w:t xml:space="preserve"> = allocation tag. Must be exactly </w:t>
      </w:r>
      <w:r>
        <w:rPr>
          <w:rStyle w:val="VerbatimChar"/>
        </w:rPr>
        <w:t>Data</w:t>
      </w:r>
      <w:r>
        <w:t xml:space="preserve"> or </w:t>
      </w:r>
      <w:r>
        <w:rPr>
          <w:rStyle w:val="VerbatimChar"/>
        </w:rPr>
        <w:t>Wellness</w:t>
      </w:r>
      <w:r>
        <w:t>. Anything else (blank, other text) is ignored — the project gets no tag.</w:t>
      </w:r>
    </w:p>
    <w:p w14:paraId="0BC59618" w14:textId="77777777" w:rsidR="00DF30E8" w:rsidRDefault="00000000">
      <w:pPr>
        <w:pStyle w:val="Compact"/>
        <w:numPr>
          <w:ilvl w:val="0"/>
          <w:numId w:val="2"/>
        </w:numPr>
      </w:pPr>
      <w:r>
        <w:rPr>
          <w:b/>
          <w:bCs/>
        </w:rPr>
        <w:t>Column B</w:t>
      </w:r>
      <w:r>
        <w:t xml:space="preserve"> = project name or section header.</w:t>
      </w:r>
    </w:p>
    <w:p w14:paraId="361BDD27" w14:textId="77777777" w:rsidR="00DF30E8" w:rsidRDefault="00000000">
      <w:pPr>
        <w:pStyle w:val="Compact"/>
        <w:numPr>
          <w:ilvl w:val="0"/>
          <w:numId w:val="2"/>
        </w:numPr>
      </w:pPr>
      <w:r>
        <w:rPr>
          <w:b/>
          <w:bCs/>
        </w:rPr>
        <w:t>Column C</w:t>
      </w:r>
      <w:r>
        <w:t xml:space="preserve"> = contract code (the join key across all files).</w:t>
      </w:r>
    </w:p>
    <w:p w14:paraId="65FFF11D" w14:textId="77777777" w:rsidR="00DF30E8" w:rsidRDefault="00000000">
      <w:pPr>
        <w:pStyle w:val="Compact"/>
        <w:numPr>
          <w:ilvl w:val="0"/>
          <w:numId w:val="2"/>
        </w:numPr>
      </w:pPr>
      <w:r>
        <w:rPr>
          <w:b/>
          <w:bCs/>
        </w:rPr>
        <w:t>Section headers:</w:t>
      </w:r>
      <w:r>
        <w:t xml:space="preserve"> rows where B is filled but C is empty. Sets the current section (e.g., BEH, PAD, MAR).</w:t>
      </w:r>
    </w:p>
    <w:p w14:paraId="26D1DE79" w14:textId="77777777" w:rsidR="00DF30E8" w:rsidRDefault="00000000">
      <w:pPr>
        <w:pStyle w:val="Compact"/>
        <w:numPr>
          <w:ilvl w:val="0"/>
          <w:numId w:val="2"/>
        </w:numPr>
      </w:pPr>
      <w:r>
        <w:rPr>
          <w:b/>
          <w:bCs/>
        </w:rPr>
        <w:t>Project rows:</w:t>
      </w:r>
      <w:r>
        <w:t xml:space="preserve"> rows where both B and C are filled. Revenue is read from the target month column.</w:t>
      </w:r>
    </w:p>
    <w:p w14:paraId="5C5081E0" w14:textId="77777777" w:rsidR="00DF30E8" w:rsidRDefault="00000000">
      <w:pPr>
        <w:pStyle w:val="FirstParagraph"/>
      </w:pPr>
      <w:r>
        <w:rPr>
          <w:b/>
          <w:bCs/>
        </w:rPr>
        <w:t>Duplicate handling:</w:t>
      </w:r>
      <w:r>
        <w:t xml:space="preserve"> If the same contract code appears on multiple rows, revenues are summed. However, if the same code appears with both </w:t>
      </w:r>
      <w:r>
        <w:rPr>
          <w:rStyle w:val="VerbatimChar"/>
        </w:rPr>
        <w:t>Data</w:t>
      </w:r>
      <w:r>
        <w:t xml:space="preserve"> and </w:t>
      </w:r>
      <w:r>
        <w:rPr>
          <w:rStyle w:val="VerbatimChar"/>
        </w:rPr>
        <w:t>Wellness</w:t>
      </w:r>
      <w:r>
        <w:t xml:space="preserve"> tags, the pipeline raises a hard error (conflicting allocation tags).</w:t>
      </w:r>
    </w:p>
    <w:p w14:paraId="179357E0" w14:textId="77777777" w:rsidR="00DF30E8" w:rsidRDefault="00000000">
      <w:pPr>
        <w:pStyle w:val="BodyText"/>
      </w:pPr>
      <w:r>
        <w:rPr>
          <w:b/>
          <w:bCs/>
        </w:rPr>
        <w:t>Revenue validation:</w:t>
      </w:r>
      <w:r>
        <w:t xml:space="preserve"> The sum of all parsed project revenues must match the “Base Revenue” or “Forecasted Revenue” row within $0.01 tolerance. A mismatch halts the pipeline.</w:t>
      </w:r>
    </w:p>
    <w:p w14:paraId="0A9EFCA0" w14:textId="77777777" w:rsidR="00DF30E8" w:rsidRDefault="00000000">
      <w:pPr>
        <w:pStyle w:val="BlockText"/>
      </w:pPr>
      <w:r>
        <w:rPr>
          <w:b/>
          <w:bCs/>
        </w:rPr>
        <w:t>ADJUSTABLE:</w:t>
      </w:r>
      <w:r>
        <w:t xml:space="preserve"> Sheet name is hardcoded as </w:t>
      </w:r>
      <w:r>
        <w:rPr>
          <w:rStyle w:val="VerbatimChar"/>
        </w:rPr>
        <w:t>PRO FORMA 2025</w:t>
      </w:r>
      <w:r>
        <w:t>. This will need updating each fiscal year.</w:t>
      </w:r>
    </w:p>
    <w:p w14:paraId="104E4E36" w14:textId="77777777" w:rsidR="00DF30E8" w:rsidRDefault="00000000">
      <w:pPr>
        <w:pStyle w:val="Heading3"/>
      </w:pPr>
      <w:bookmarkStart w:id="5" w:name="compensation-file"/>
      <w:bookmarkEnd w:id="4"/>
      <w:r>
        <w:t>1.2 Compensation File</w:t>
      </w:r>
    </w:p>
    <w:p w14:paraId="271B170E" w14:textId="77777777" w:rsidR="00DF30E8" w:rsidRDefault="00000000">
      <w:pPr>
        <w:pStyle w:val="FirstParagraph"/>
      </w:pPr>
      <w:r>
        <w:rPr>
          <w:b/>
          <w:bCs/>
        </w:rPr>
        <w:t>Source:</w:t>
      </w:r>
      <w:r>
        <w:t xml:space="preserve"> Excel file (first sheet). The </w:t>
      </w:r>
      <w:r>
        <w:rPr>
          <w:rStyle w:val="VerbatimChar"/>
        </w:rPr>
        <w:t>Last Name</w:t>
      </w:r>
      <w:r>
        <w:t xml:space="preserve"> column is the key that links to Harvest Hours.</w:t>
      </w:r>
    </w:p>
    <w:p w14:paraId="555038B8" w14:textId="77777777" w:rsidR="00DF30E8" w:rsidRDefault="00000000">
      <w:pPr>
        <w:pStyle w:val="BodyText"/>
      </w:pPr>
      <w:r>
        <w:rPr>
          <w:b/>
          <w:bCs/>
        </w:rPr>
        <w:t>Two strategies for determining hourly cost:</w:t>
      </w:r>
    </w:p>
    <w:p w14:paraId="019CD35F" w14:textId="77777777" w:rsidR="00DF30E8" w:rsidRDefault="00000000">
      <w:pPr>
        <w:pStyle w:val="BodyText"/>
      </w:pPr>
      <w:r>
        <w:rPr>
          <w:b/>
          <w:bCs/>
        </w:rPr>
        <w:t>Strategy A (Preferred):</w:t>
      </w:r>
      <w:r>
        <w:t xml:space="preserve"> If a </w:t>
      </w:r>
      <w:r>
        <w:rPr>
          <w:rStyle w:val="VerbatimChar"/>
        </w:rPr>
        <w:t>Base Cost Per Hour</w:t>
      </w:r>
      <w:r>
        <w:t xml:space="preserve"> column exists, its value is used directly as the hourly cost. No calculation needed.</w:t>
      </w:r>
    </w:p>
    <w:p w14:paraId="7865A5E5" w14:textId="77777777" w:rsidR="00DF30E8" w:rsidRDefault="00000000">
      <w:pPr>
        <w:pStyle w:val="BodyText"/>
      </w:pPr>
      <w:r>
        <w:rPr>
          <w:b/>
          <w:bCs/>
        </w:rPr>
        <w:lastRenderedPageBreak/>
        <w:t>Strategy B (Fallback):</w:t>
      </w:r>
      <w:r>
        <w:t xml:space="preserve"> If no hourly rate column exists, the pipeline computes it:</w:t>
      </w:r>
    </w:p>
    <w:p w14:paraId="6E9A3FD8" w14:textId="77777777" w:rsidR="00DF30E8" w:rsidRDefault="00000000">
      <w:pPr>
        <w:pStyle w:val="BlockText"/>
      </w:pPr>
      <w:r>
        <w:t xml:space="preserve">hourlyCost = monthlyCost ÷ </w:t>
      </w:r>
      <w:r>
        <w:rPr>
          <w:b/>
          <w:bCs/>
        </w:rPr>
        <w:t>216.6667</w:t>
      </w:r>
    </w:p>
    <w:p w14:paraId="2E903E3A" w14:textId="77777777" w:rsidR="00DF30E8" w:rsidRDefault="00000000">
      <w:pPr>
        <w:pStyle w:val="FirstParagraph"/>
      </w:pPr>
      <w:r>
        <w:t xml:space="preserve">Where </w:t>
      </w:r>
      <w:r>
        <w:rPr>
          <w:rStyle w:val="VerbatimChar"/>
        </w:rPr>
        <w:t>monthlyCost</w:t>
      </w:r>
      <w:r>
        <w:t xml:space="preserve"> is either the </w:t>
      </w:r>
      <w:r>
        <w:rPr>
          <w:rStyle w:val="VerbatimChar"/>
        </w:rPr>
        <w:t>Total</w:t>
      </w:r>
      <w:r>
        <w:t xml:space="preserve"> column or the sum of these 7 components:</w:t>
      </w:r>
    </w:p>
    <w:p w14:paraId="6EAFFB2D" w14:textId="77777777" w:rsidR="00DF30E8" w:rsidRDefault="00000000">
      <w:pPr>
        <w:pStyle w:val="Compact"/>
        <w:numPr>
          <w:ilvl w:val="0"/>
          <w:numId w:val="3"/>
        </w:numPr>
      </w:pPr>
      <w:r>
        <w:t>Base Compensation</w:t>
      </w:r>
    </w:p>
    <w:p w14:paraId="7043F1D1" w14:textId="77777777" w:rsidR="00DF30E8" w:rsidRDefault="00000000">
      <w:pPr>
        <w:pStyle w:val="Compact"/>
        <w:numPr>
          <w:ilvl w:val="0"/>
          <w:numId w:val="3"/>
        </w:numPr>
      </w:pPr>
      <w:r>
        <w:t>Company Taxes Paid</w:t>
      </w:r>
    </w:p>
    <w:p w14:paraId="79A0E485" w14:textId="77777777" w:rsidR="00DF30E8" w:rsidRDefault="00000000">
      <w:pPr>
        <w:pStyle w:val="Compact"/>
        <w:numPr>
          <w:ilvl w:val="0"/>
          <w:numId w:val="3"/>
        </w:numPr>
      </w:pPr>
      <w:r>
        <w:t>ICHRA Contribution</w:t>
      </w:r>
    </w:p>
    <w:p w14:paraId="2C6BBD6D" w14:textId="77777777" w:rsidR="00DF30E8" w:rsidRDefault="00000000">
      <w:pPr>
        <w:pStyle w:val="Compact"/>
        <w:numPr>
          <w:ilvl w:val="0"/>
          <w:numId w:val="3"/>
        </w:numPr>
      </w:pPr>
      <w:r>
        <w:t>401k Match</w:t>
      </w:r>
    </w:p>
    <w:p w14:paraId="3C4EC2DC" w14:textId="77777777" w:rsidR="00DF30E8" w:rsidRDefault="00000000">
      <w:pPr>
        <w:pStyle w:val="Compact"/>
        <w:numPr>
          <w:ilvl w:val="0"/>
          <w:numId w:val="3"/>
        </w:numPr>
      </w:pPr>
      <w:r>
        <w:t>Executive Assistant</w:t>
      </w:r>
    </w:p>
    <w:p w14:paraId="3496379B" w14:textId="77777777" w:rsidR="00DF30E8" w:rsidRDefault="00000000">
      <w:pPr>
        <w:pStyle w:val="Compact"/>
        <w:numPr>
          <w:ilvl w:val="0"/>
          <w:numId w:val="3"/>
        </w:numPr>
      </w:pPr>
      <w:r>
        <w:t>Well Being Card</w:t>
      </w:r>
    </w:p>
    <w:p w14:paraId="01E00C4E" w14:textId="77777777" w:rsidR="00DF30E8" w:rsidRDefault="00000000">
      <w:pPr>
        <w:pStyle w:val="Compact"/>
        <w:numPr>
          <w:ilvl w:val="0"/>
          <w:numId w:val="3"/>
        </w:numPr>
      </w:pPr>
      <w:r>
        <w:t>Travel &amp; Expenses</w:t>
      </w:r>
    </w:p>
    <w:p w14:paraId="0B44BB65" w14:textId="77777777" w:rsidR="00DF30E8" w:rsidRDefault="00000000">
      <w:pPr>
        <w:pStyle w:val="BlockText"/>
      </w:pPr>
      <w:r>
        <w:rPr>
          <w:b/>
          <w:bCs/>
        </w:rPr>
        <w:t>ADJUSTABLE:</w:t>
      </w:r>
      <w:r>
        <w:t xml:space="preserve"> 216.6667 hours/month is the expected monthly hours constant used for Strategy B conversion. Change this if the firm uses a different standard.</w:t>
      </w:r>
    </w:p>
    <w:p w14:paraId="66D5C7DD" w14:textId="77777777" w:rsidR="00DF30E8" w:rsidRDefault="00000000">
      <w:pPr>
        <w:pStyle w:val="FirstParagraph"/>
      </w:pPr>
      <w:r>
        <w:rPr>
          <w:b/>
          <w:bCs/>
        </w:rPr>
        <w:t>Constraint:</w:t>
      </w:r>
      <w:r>
        <w:t xml:space="preserve"> Last names must be unique. Duplicate last names cause a hard error since Last Name is the join key to Harvest Hours.</w:t>
      </w:r>
    </w:p>
    <w:p w14:paraId="326166A2" w14:textId="77777777" w:rsidR="00DF30E8" w:rsidRDefault="00000000">
      <w:pPr>
        <w:pStyle w:val="Heading3"/>
      </w:pPr>
      <w:bookmarkStart w:id="6" w:name="harvest-hours"/>
      <w:bookmarkEnd w:id="5"/>
      <w:r>
        <w:t>1.3 Harvest Hours</w:t>
      </w:r>
    </w:p>
    <w:p w14:paraId="5DAB1AFC" w14:textId="77777777" w:rsidR="00DF30E8" w:rsidRDefault="00000000">
      <w:pPr>
        <w:pStyle w:val="FirstParagraph"/>
      </w:pPr>
      <w:r>
        <w:rPr>
          <w:b/>
          <w:bCs/>
        </w:rPr>
        <w:t>Source:</w:t>
      </w:r>
      <w:r>
        <w:t xml:space="preserve"> Harvest time tracking export.</w:t>
      </w:r>
    </w:p>
    <w:p w14:paraId="08370FFD" w14:textId="77777777" w:rsidR="00DF30E8" w:rsidRDefault="00000000">
      <w:pPr>
        <w:pStyle w:val="BodyText"/>
      </w:pPr>
      <w:r>
        <w:rPr>
          <w:b/>
          <w:bCs/>
        </w:rPr>
        <w:t>Required columns:</w:t>
      </w:r>
      <w:r>
        <w:t xml:space="preserve"> Date, Project Code, Hours, Last Name</w:t>
      </w:r>
    </w:p>
    <w:p w14:paraId="436D199A" w14:textId="77777777" w:rsidR="00DF30E8" w:rsidRDefault="00000000">
      <w:pPr>
        <w:pStyle w:val="BodyText"/>
      </w:pPr>
      <w:r>
        <w:rPr>
          <w:b/>
          <w:bCs/>
        </w:rPr>
        <w:t>Optional column:</w:t>
      </w:r>
      <w:r>
        <w:t xml:space="preserve"> Project / Project Name / Client Name</w:t>
      </w:r>
    </w:p>
    <w:p w14:paraId="4B7C07BB" w14:textId="77777777" w:rsidR="00DF30E8" w:rsidRDefault="00000000">
      <w:pPr>
        <w:pStyle w:val="BodyText"/>
      </w:pPr>
      <w:r>
        <w:rPr>
          <w:b/>
          <w:bCs/>
        </w:rPr>
        <w:t>Date filtering:</w:t>
      </w:r>
      <w:r>
        <w:t xml:space="preserve"> Only rows where the date falls within the target month (first day through last day) are included. Rows outside the month range are excluded and logged.</w:t>
      </w:r>
    </w:p>
    <w:p w14:paraId="70416227" w14:textId="77777777" w:rsidR="00DF30E8" w:rsidRDefault="00000000">
      <w:pPr>
        <w:pStyle w:val="BodyText"/>
      </w:pPr>
      <w:r>
        <w:rPr>
          <w:b/>
          <w:bCs/>
        </w:rPr>
        <w:t>Join key:</w:t>
      </w:r>
      <w:r>
        <w:t xml:space="preserve"> </w:t>
      </w:r>
      <w:r>
        <w:rPr>
          <w:rStyle w:val="VerbatimChar"/>
        </w:rPr>
        <w:t>Last Name</w:t>
      </w:r>
      <w:r>
        <w:t xml:space="preserve"> links each hours row to the Compensation file for hourly cost lookup.</w:t>
      </w:r>
    </w:p>
    <w:p w14:paraId="175F6E7A" w14:textId="77777777" w:rsidR="00DF30E8" w:rsidRDefault="00000000">
      <w:pPr>
        <w:pStyle w:val="BodyText"/>
      </w:pPr>
      <w:r>
        <w:rPr>
          <w:b/>
          <w:bCs/>
        </w:rPr>
        <w:t>Missing staff behavior:</w:t>
      </w:r>
      <w:r>
        <w:t xml:space="preserve"> Staff members who appear in Harvest Hours but are missing from the Compensation file are entirely excluded — their hours are dropped, not costed at $0. A warning is logged but the pipeline continues.</w:t>
      </w:r>
    </w:p>
    <w:p w14:paraId="431DFEFC" w14:textId="77777777" w:rsidR="00DF30E8" w:rsidRDefault="00000000">
      <w:pPr>
        <w:pStyle w:val="Heading3"/>
      </w:pPr>
      <w:bookmarkStart w:id="7" w:name="harvest-expenses"/>
      <w:bookmarkEnd w:id="6"/>
      <w:r>
        <w:t>1.4 Harvest Expenses</w:t>
      </w:r>
    </w:p>
    <w:p w14:paraId="70CBDA04" w14:textId="77777777" w:rsidR="00DF30E8" w:rsidRDefault="00000000">
      <w:pPr>
        <w:pStyle w:val="FirstParagraph"/>
      </w:pPr>
      <w:r>
        <w:rPr>
          <w:b/>
          <w:bCs/>
        </w:rPr>
        <w:t>Source:</w:t>
      </w:r>
      <w:r>
        <w:t xml:space="preserve"> Harvest expense export.</w:t>
      </w:r>
    </w:p>
    <w:p w14:paraId="5777CECD" w14:textId="77777777" w:rsidR="00DF30E8" w:rsidRDefault="00000000">
      <w:pPr>
        <w:pStyle w:val="BodyText"/>
      </w:pPr>
      <w:r>
        <w:rPr>
          <w:b/>
          <w:bCs/>
        </w:rPr>
        <w:t>Required columns:</w:t>
      </w:r>
      <w:r>
        <w:t xml:space="preserve"> Date, Project Code, Amount, Billable</w:t>
      </w:r>
    </w:p>
    <w:p w14:paraId="2A457859" w14:textId="77777777" w:rsidR="00DF30E8" w:rsidRDefault="00000000">
      <w:pPr>
        <w:pStyle w:val="BodyText"/>
      </w:pPr>
      <w:r>
        <w:rPr>
          <w:b/>
          <w:bCs/>
        </w:rPr>
        <w:t>Optional column:</w:t>
      </w:r>
      <w:r>
        <w:t xml:space="preserve"> Notes / Description</w:t>
      </w:r>
    </w:p>
    <w:p w14:paraId="4626BB0F" w14:textId="77777777" w:rsidR="00DF30E8" w:rsidRDefault="00000000">
      <w:pPr>
        <w:pStyle w:val="BodyText"/>
      </w:pPr>
      <w:r>
        <w:rPr>
          <w:b/>
          <w:bCs/>
        </w:rPr>
        <w:t>Reimbursable filter:</w:t>
      </w:r>
    </w:p>
    <w:p w14:paraId="56E3084A" w14:textId="77777777" w:rsidR="00DF30E8" w:rsidRDefault="00000000">
      <w:pPr>
        <w:pStyle w:val="Compact"/>
        <w:numPr>
          <w:ilvl w:val="0"/>
          <w:numId w:val="4"/>
        </w:numPr>
      </w:pPr>
      <w:r>
        <w:t xml:space="preserve">Billable = Yes → </w:t>
      </w:r>
      <w:r>
        <w:rPr>
          <w:b/>
          <w:bCs/>
        </w:rPr>
        <w:t>EXCLUDED</w:t>
      </w:r>
      <w:r>
        <w:t xml:space="preserve"> (client-reimbursable, not a company cost)</w:t>
      </w:r>
    </w:p>
    <w:p w14:paraId="5EC1D08E" w14:textId="77777777" w:rsidR="00DF30E8" w:rsidRDefault="00000000">
      <w:pPr>
        <w:pStyle w:val="Compact"/>
        <w:numPr>
          <w:ilvl w:val="0"/>
          <w:numId w:val="4"/>
        </w:numPr>
      </w:pPr>
      <w:r>
        <w:t>Billable = No → included as a direct expense</w:t>
      </w:r>
    </w:p>
    <w:p w14:paraId="4C6AB0FA" w14:textId="77777777" w:rsidR="00DF30E8" w:rsidRDefault="00000000">
      <w:pPr>
        <w:pStyle w:val="Compact"/>
        <w:numPr>
          <w:ilvl w:val="0"/>
          <w:numId w:val="4"/>
        </w:numPr>
      </w:pPr>
      <w:r>
        <w:lastRenderedPageBreak/>
        <w:t xml:space="preserve">Billable = unknown/blank → treated as non-reimbursable and </w:t>
      </w:r>
      <w:r>
        <w:rPr>
          <w:b/>
          <w:bCs/>
        </w:rPr>
        <w:t>included</w:t>
      </w:r>
    </w:p>
    <w:p w14:paraId="3414350C" w14:textId="77777777" w:rsidR="00DF30E8" w:rsidRDefault="00000000">
      <w:pPr>
        <w:pStyle w:val="BlockText"/>
      </w:pPr>
      <w:r>
        <w:rPr>
          <w:b/>
          <w:bCs/>
        </w:rPr>
        <w:t>ADJUSTABLE:</w:t>
      </w:r>
      <w:r>
        <w:t xml:space="preserve"> Expenses are not filtered by month like hours are. All non-reimbursable expenses in the file are included regardless of date.</w:t>
      </w:r>
    </w:p>
    <w:p w14:paraId="0643D91E" w14:textId="77777777" w:rsidR="00DF30E8" w:rsidRDefault="00000000">
      <w:pPr>
        <w:pStyle w:val="Heading3"/>
      </w:pPr>
      <w:bookmarkStart w:id="8" w:name="pl-statement"/>
      <w:bookmarkEnd w:id="7"/>
      <w:r>
        <w:t>1.5 P&amp;L Statement</w:t>
      </w:r>
    </w:p>
    <w:p w14:paraId="73ECF982" w14:textId="77777777" w:rsidR="00DF30E8" w:rsidRDefault="00000000">
      <w:pPr>
        <w:pStyle w:val="FirstParagraph"/>
      </w:pPr>
      <w:r>
        <w:rPr>
          <w:b/>
          <w:bCs/>
        </w:rPr>
        <w:t>Source:</w:t>
      </w:r>
      <w:r>
        <w:t xml:space="preserve"> Excel workbook, sheet named </w:t>
      </w:r>
      <w:r>
        <w:rPr>
          <w:rStyle w:val="VerbatimChar"/>
        </w:rPr>
        <w:t>IncomeStatement</w:t>
      </w:r>
      <w:r>
        <w:t>. Column A = account name. The “Total” column (or last column) = amount.</w:t>
      </w:r>
    </w:p>
    <w:p w14:paraId="652CF778" w14:textId="77777777" w:rsidR="00DF30E8" w:rsidRDefault="00000000">
      <w:pPr>
        <w:pStyle w:val="BodyText"/>
      </w:pPr>
      <w:r>
        <w:rPr>
          <w:b/>
          <w:bCs/>
        </w:rPr>
        <w:t>Step 1 — Exclude non-expense lines</w:t>
      </w:r>
      <w:r>
        <w:t xml:space="preserve"> (these never enter any pool):</w:t>
      </w:r>
    </w:p>
    <w:p w14:paraId="091EB18E" w14:textId="77777777" w:rsidR="00DF30E8" w:rsidRDefault="00000000">
      <w:pPr>
        <w:pStyle w:val="Compact"/>
        <w:numPr>
          <w:ilvl w:val="0"/>
          <w:numId w:val="5"/>
        </w:numPr>
      </w:pPr>
      <w:r>
        <w:t>Income lines containing: sales, fixed fee, recurring revenue, other income, interest income, dividend income</w:t>
      </w:r>
    </w:p>
    <w:p w14:paraId="798E4AD5" w14:textId="77777777" w:rsidR="00DF30E8" w:rsidRDefault="00000000">
      <w:pPr>
        <w:pStyle w:val="Compact"/>
        <w:numPr>
          <w:ilvl w:val="0"/>
          <w:numId w:val="5"/>
        </w:numPr>
      </w:pPr>
      <w:r>
        <w:t>Summary lines containing: gross profit, net income, net ordinary income, operating income, total income, total expenses, total payroll, total general, total administrative</w:t>
      </w:r>
    </w:p>
    <w:p w14:paraId="62D9BAB3" w14:textId="77777777" w:rsidR="00DF30E8" w:rsidRDefault="00000000">
      <w:pPr>
        <w:pStyle w:val="Compact"/>
        <w:numPr>
          <w:ilvl w:val="0"/>
          <w:numId w:val="5"/>
        </w:numPr>
      </w:pPr>
      <w:r>
        <w:t>Rows starting with “Total -”</w:t>
      </w:r>
    </w:p>
    <w:p w14:paraId="55DC3F77" w14:textId="77777777" w:rsidR="00DF30E8" w:rsidRDefault="00000000">
      <w:pPr>
        <w:pStyle w:val="Compact"/>
        <w:numPr>
          <w:ilvl w:val="0"/>
          <w:numId w:val="5"/>
        </w:numPr>
      </w:pPr>
      <w:r>
        <w:t>The word “Other” by itself</w:t>
      </w:r>
    </w:p>
    <w:p w14:paraId="7D7B9B48" w14:textId="77777777" w:rsidR="00DF30E8" w:rsidRDefault="00000000">
      <w:pPr>
        <w:pStyle w:val="FirstParagraph"/>
      </w:pPr>
      <w:r>
        <w:rPr>
          <w:b/>
          <w:bCs/>
        </w:rPr>
        <w:t>Step 2 — Tag each remaining account into one of 4 buckets</w:t>
      </w:r>
      <w:r>
        <w:t xml:space="preserve"> (first match wins):</w:t>
      </w:r>
    </w:p>
    <w:tbl>
      <w:tblPr>
        <w:tblStyle w:val="Table"/>
        <w:tblW w:w="5000" w:type="pct"/>
        <w:jc w:val="center"/>
        <w:tblLayout w:type="fixed"/>
        <w:tblLook w:val="0020" w:firstRow="1" w:lastRow="0" w:firstColumn="0" w:lastColumn="0" w:noHBand="0" w:noVBand="0"/>
      </w:tblPr>
      <w:tblGrid>
        <w:gridCol w:w="3192"/>
        <w:gridCol w:w="3192"/>
        <w:gridCol w:w="3192"/>
      </w:tblGrid>
      <w:tr w:rsidR="00DF30E8" w14:paraId="62C9B1AB" w14:textId="77777777" w:rsidTr="00C555C1">
        <w:trPr>
          <w:cnfStyle w:val="100000000000" w:firstRow="1" w:lastRow="0" w:firstColumn="0" w:lastColumn="0" w:oddVBand="0" w:evenVBand="0" w:oddHBand="0" w:evenHBand="0" w:firstRowFirstColumn="0" w:firstRowLastColumn="0" w:lastRowFirstColumn="0" w:lastRowLastColumn="0"/>
          <w:tblHeader/>
          <w:jc w:val="center"/>
        </w:trPr>
        <w:tc>
          <w:tcPr>
            <w:tcW w:w="2640" w:type="dxa"/>
          </w:tcPr>
          <w:p w14:paraId="0A011E4F" w14:textId="77777777" w:rsidR="00DF30E8" w:rsidRDefault="00000000">
            <w:pPr>
              <w:pStyle w:val="Compact"/>
            </w:pPr>
            <w:r>
              <w:t>Bucket</w:t>
            </w:r>
          </w:p>
        </w:tc>
        <w:tc>
          <w:tcPr>
            <w:tcW w:w="2640" w:type="dxa"/>
          </w:tcPr>
          <w:p w14:paraId="67F467A2" w14:textId="77777777" w:rsidR="00DF30E8" w:rsidRDefault="00000000">
            <w:pPr>
              <w:pStyle w:val="Compact"/>
            </w:pPr>
            <w:r>
              <w:t>Match Keywords (contains, case-insensitive)</w:t>
            </w:r>
          </w:p>
        </w:tc>
        <w:tc>
          <w:tcPr>
            <w:tcW w:w="2640" w:type="dxa"/>
          </w:tcPr>
          <w:p w14:paraId="26388EC4" w14:textId="77777777" w:rsidR="00DF30E8" w:rsidRDefault="00000000">
            <w:pPr>
              <w:pStyle w:val="Compact"/>
            </w:pPr>
            <w:r>
              <w:t>Purpose</w:t>
            </w:r>
          </w:p>
        </w:tc>
      </w:tr>
      <w:tr w:rsidR="00DF30E8" w14:paraId="41FCDAE7" w14:textId="77777777" w:rsidTr="00C555C1">
        <w:trPr>
          <w:jc w:val="center"/>
        </w:trPr>
        <w:tc>
          <w:tcPr>
            <w:tcW w:w="2640" w:type="dxa"/>
          </w:tcPr>
          <w:p w14:paraId="6EB1DD5C" w14:textId="77777777" w:rsidR="00DF30E8" w:rsidRDefault="00000000">
            <w:pPr>
              <w:pStyle w:val="Compact"/>
            </w:pPr>
            <w:r>
              <w:rPr>
                <w:b/>
                <w:bCs/>
              </w:rPr>
              <w:t>DATA</w:t>
            </w:r>
          </w:p>
        </w:tc>
        <w:tc>
          <w:tcPr>
            <w:tcW w:w="2640" w:type="dxa"/>
          </w:tcPr>
          <w:p w14:paraId="3886165F" w14:textId="77777777" w:rsidR="00DF30E8" w:rsidRDefault="00000000">
            <w:pPr>
              <w:pStyle w:val="Compact"/>
            </w:pPr>
            <w:r>
              <w:t>Starset, AWS, Azure, Cloud, Data Center, Software License, Technology, IT Infrastructure</w:t>
            </w:r>
          </w:p>
        </w:tc>
        <w:tc>
          <w:tcPr>
            <w:tcW w:w="2640" w:type="dxa"/>
          </w:tcPr>
          <w:p w14:paraId="0B150F69" w14:textId="77777777" w:rsidR="00DF30E8" w:rsidRDefault="00000000">
            <w:pPr>
              <w:pStyle w:val="Compact"/>
            </w:pPr>
            <w:r>
              <w:t>Allocated to Data-tagged projects</w:t>
            </w:r>
          </w:p>
        </w:tc>
      </w:tr>
      <w:tr w:rsidR="00DF30E8" w14:paraId="1FA0A481" w14:textId="77777777" w:rsidTr="00C555C1">
        <w:trPr>
          <w:jc w:val="center"/>
        </w:trPr>
        <w:tc>
          <w:tcPr>
            <w:tcW w:w="2640" w:type="dxa"/>
          </w:tcPr>
          <w:p w14:paraId="1C66ACC2" w14:textId="77777777" w:rsidR="00DF30E8" w:rsidRDefault="00000000">
            <w:pPr>
              <w:pStyle w:val="Compact"/>
            </w:pPr>
            <w:r>
              <w:rPr>
                <w:b/>
                <w:bCs/>
              </w:rPr>
              <w:t>WORKPLACE</w:t>
            </w:r>
          </w:p>
        </w:tc>
        <w:tc>
          <w:tcPr>
            <w:tcW w:w="2640" w:type="dxa"/>
          </w:tcPr>
          <w:p w14:paraId="29FE43FA" w14:textId="77777777" w:rsidR="00DF30E8" w:rsidRDefault="00000000">
            <w:pPr>
              <w:pStyle w:val="Compact"/>
            </w:pPr>
            <w:r>
              <w:t>Well-being, Wellbeing, Wellness, ICHRA, Health Insurance, Employee Benefits</w:t>
            </w:r>
          </w:p>
        </w:tc>
        <w:tc>
          <w:tcPr>
            <w:tcW w:w="2640" w:type="dxa"/>
          </w:tcPr>
          <w:p w14:paraId="1A829BD3" w14:textId="77777777" w:rsidR="00DF30E8" w:rsidRDefault="00000000">
            <w:pPr>
              <w:pStyle w:val="Compact"/>
            </w:pPr>
            <w:r>
              <w:t>Allocated to Wellness-tagged projects</w:t>
            </w:r>
          </w:p>
        </w:tc>
      </w:tr>
      <w:tr w:rsidR="00DF30E8" w14:paraId="0A31FD40" w14:textId="77777777" w:rsidTr="00C555C1">
        <w:trPr>
          <w:jc w:val="center"/>
        </w:trPr>
        <w:tc>
          <w:tcPr>
            <w:tcW w:w="2640" w:type="dxa"/>
          </w:tcPr>
          <w:p w14:paraId="70D39AD6" w14:textId="77777777" w:rsidR="00DF30E8" w:rsidRDefault="00000000">
            <w:pPr>
              <w:pStyle w:val="Compact"/>
            </w:pPr>
            <w:r>
              <w:rPr>
                <w:b/>
                <w:bCs/>
              </w:rPr>
              <w:t>NIL</w:t>
            </w:r>
          </w:p>
        </w:tc>
        <w:tc>
          <w:tcPr>
            <w:tcW w:w="2640" w:type="dxa"/>
          </w:tcPr>
          <w:p w14:paraId="00E809DE" w14:textId="77777777" w:rsidR="00DF30E8" w:rsidRDefault="00000000">
            <w:pPr>
              <w:pStyle w:val="Compact"/>
            </w:pPr>
            <w:r>
              <w:t>Depreciation, Amortization, Interest Expense, Income Tax</w:t>
            </w:r>
          </w:p>
        </w:tc>
        <w:tc>
          <w:tcPr>
            <w:tcW w:w="2640" w:type="dxa"/>
          </w:tcPr>
          <w:p w14:paraId="60CF425E" w14:textId="77777777" w:rsidR="00DF30E8" w:rsidRDefault="00000000">
            <w:pPr>
              <w:pStyle w:val="Compact"/>
            </w:pPr>
            <w:r>
              <w:t>Excluded from all pools entirely</w:t>
            </w:r>
          </w:p>
        </w:tc>
      </w:tr>
      <w:tr w:rsidR="00DF30E8" w14:paraId="1E6D461B" w14:textId="77777777" w:rsidTr="00C555C1">
        <w:trPr>
          <w:jc w:val="center"/>
        </w:trPr>
        <w:tc>
          <w:tcPr>
            <w:tcW w:w="2640" w:type="dxa"/>
          </w:tcPr>
          <w:p w14:paraId="3ACD2ACF" w14:textId="77777777" w:rsidR="00DF30E8" w:rsidRDefault="00000000">
            <w:pPr>
              <w:pStyle w:val="Compact"/>
            </w:pPr>
            <w:r>
              <w:rPr>
                <w:b/>
                <w:bCs/>
              </w:rPr>
              <w:t>SGA</w:t>
            </w:r>
          </w:p>
        </w:tc>
        <w:tc>
          <w:tcPr>
            <w:tcW w:w="2640" w:type="dxa"/>
          </w:tcPr>
          <w:p w14:paraId="6BF027A1" w14:textId="77777777" w:rsidR="00DF30E8" w:rsidRDefault="00000000">
            <w:pPr>
              <w:pStyle w:val="Compact"/>
            </w:pPr>
            <w:r>
              <w:t>Everything else (default)</w:t>
            </w:r>
          </w:p>
        </w:tc>
        <w:tc>
          <w:tcPr>
            <w:tcW w:w="2640" w:type="dxa"/>
          </w:tcPr>
          <w:p w14:paraId="772D42EC" w14:textId="77777777" w:rsidR="00DF30E8" w:rsidRDefault="00000000">
            <w:pPr>
              <w:pStyle w:val="Compact"/>
            </w:pPr>
            <w:r>
              <w:t>Allocated to all revenue centers</w:t>
            </w:r>
          </w:p>
        </w:tc>
      </w:tr>
    </w:tbl>
    <w:p w14:paraId="612742B6" w14:textId="77777777" w:rsidR="00DF30E8" w:rsidRDefault="00000000">
      <w:pPr>
        <w:pStyle w:val="BlockText"/>
      </w:pPr>
      <w:r>
        <w:rPr>
          <w:b/>
          <w:bCs/>
        </w:rPr>
        <w:t>ADJUSTABLE:</w:t>
      </w:r>
      <w:r>
        <w:t xml:space="preserve"> The P&amp;L tagging keywords above are the full set of rules that determine which overhead pool each account feeds. Accounts that don’t match any DATA, WORKPLACE, or NIL keyword automatically go to SGA. Adding or removing keywords here changes how overhead is distributed.</w:t>
      </w:r>
    </w:p>
    <w:p w14:paraId="3A373634" w14:textId="75FA9E0E" w:rsidR="00DF30E8" w:rsidRDefault="00DF30E8"/>
    <w:p w14:paraId="1DA8F639" w14:textId="77777777" w:rsidR="00C555C1" w:rsidRDefault="00C555C1">
      <w:pPr>
        <w:rPr>
          <w:rFonts w:asciiTheme="majorHAnsi" w:eastAsiaTheme="majorEastAsia" w:hAnsiTheme="majorHAnsi" w:cstheme="majorBidi"/>
          <w:color w:val="0F4761" w:themeColor="accent1" w:themeShade="BF"/>
          <w:sz w:val="32"/>
          <w:szCs w:val="32"/>
        </w:rPr>
      </w:pPr>
      <w:bookmarkStart w:id="9" w:name="project-classification-rules"/>
      <w:bookmarkEnd w:id="2"/>
      <w:bookmarkEnd w:id="8"/>
      <w:r>
        <w:br w:type="page"/>
      </w:r>
    </w:p>
    <w:p w14:paraId="73274CEB" w14:textId="101C02ED" w:rsidR="00DF30E8" w:rsidRDefault="00000000">
      <w:pPr>
        <w:pStyle w:val="Heading2"/>
      </w:pPr>
      <w:bookmarkStart w:id="10" w:name="_Toc223430063"/>
      <w:r>
        <w:lastRenderedPageBreak/>
        <w:t>2. Project Classification Rules</w:t>
      </w:r>
      <w:bookmarkEnd w:id="10"/>
    </w:p>
    <w:p w14:paraId="45BEC004" w14:textId="77777777" w:rsidR="00DF30E8" w:rsidRDefault="00000000">
      <w:pPr>
        <w:pStyle w:val="FirstParagraph"/>
      </w:pPr>
      <w:r>
        <w:t>Every contract code from every source file is classified into exactly one of three mutually exclusive categories. Classification determines whether a project receives revenue, contributes to overhead pools, or is tracked as non-revenue activity.</w:t>
      </w:r>
    </w:p>
    <w:p w14:paraId="41D941D4" w14:textId="77777777" w:rsidR="00DF30E8" w:rsidRDefault="00000000">
      <w:pPr>
        <w:pStyle w:val="Heading3"/>
      </w:pPr>
      <w:bookmarkStart w:id="11" w:name="revenue-center"/>
      <w:r>
        <w:t>2.1 Revenue Center</w:t>
      </w:r>
    </w:p>
    <w:p w14:paraId="46BF3CD4" w14:textId="77777777" w:rsidR="00DF30E8" w:rsidRDefault="00000000">
      <w:pPr>
        <w:pStyle w:val="FirstParagraph"/>
      </w:pPr>
      <w:r>
        <w:t>A project that appears in the Pro Forma workbook. Revenue centers are the projects whose margins we’re measuring. They receive overhead allocations and produce the margin report.</w:t>
      </w:r>
    </w:p>
    <w:p w14:paraId="318D708D" w14:textId="77777777" w:rsidR="00DF30E8" w:rsidRDefault="00000000">
      <w:pPr>
        <w:pStyle w:val="BodyText"/>
      </w:pPr>
      <w:r>
        <w:rPr>
          <w:b/>
          <w:bCs/>
        </w:rPr>
        <w:t>Rule:</w:t>
      </w:r>
      <w:r>
        <w:t xml:space="preserve"> If a contract code exists in the Pro Forma, it is a Revenue Center — regardless of whether its revenue for the target month is $0 or positive.</w:t>
      </w:r>
    </w:p>
    <w:p w14:paraId="1A239B68" w14:textId="77777777" w:rsidR="00DF30E8" w:rsidRDefault="00000000">
      <w:pPr>
        <w:pStyle w:val="Heading3"/>
      </w:pPr>
      <w:bookmarkStart w:id="12" w:name="cost-center"/>
      <w:bookmarkEnd w:id="11"/>
      <w:r>
        <w:t>2.2 Cost Center</w:t>
      </w:r>
    </w:p>
    <w:p w14:paraId="630D9183" w14:textId="77777777" w:rsidR="00DF30E8" w:rsidRDefault="00000000">
      <w:pPr>
        <w:pStyle w:val="FirstParagraph"/>
      </w:pPr>
      <w:r>
        <w:t>Internal overhead activity. The labor and expense costs of cost centers feed into the overhead pools, which are then allocated across revenue centers.</w:t>
      </w:r>
    </w:p>
    <w:p w14:paraId="1A94394A" w14:textId="77777777" w:rsidR="00DF30E8" w:rsidRDefault="00000000">
      <w:pPr>
        <w:pStyle w:val="BodyText"/>
      </w:pPr>
      <w:r>
        <w:rPr>
          <w:b/>
          <w:bCs/>
        </w:rPr>
        <w:t>Rule:</w:t>
      </w:r>
      <w:r>
        <w:t xml:space="preserve"> A code is a Cost Center if it either:</w:t>
      </w:r>
    </w:p>
    <w:p w14:paraId="51F692A4" w14:textId="77777777" w:rsidR="00DF30E8" w:rsidRDefault="00000000">
      <w:pPr>
        <w:pStyle w:val="Compact"/>
        <w:numPr>
          <w:ilvl w:val="1"/>
          <w:numId w:val="7"/>
        </w:numPr>
      </w:pPr>
      <w:r>
        <w:t>appears in the hardcoded COST_CENTERS config list (14 codes), OR</w:t>
      </w:r>
    </w:p>
    <w:p w14:paraId="57AADC87" w14:textId="77777777" w:rsidR="00DF30E8" w:rsidRDefault="00000000">
      <w:pPr>
        <w:pStyle w:val="Compact"/>
        <w:numPr>
          <w:ilvl w:val="1"/>
          <w:numId w:val="8"/>
        </w:numPr>
      </w:pPr>
      <w:r>
        <w:t xml:space="preserve">starts with the </w:t>
      </w:r>
      <w:r>
        <w:rPr>
          <w:rStyle w:val="VerbatimChar"/>
        </w:rPr>
        <w:t>THS-</w:t>
      </w:r>
      <w:r>
        <w:t xml:space="preserve"> prefix AND is not in the Pro Forma.</w:t>
      </w:r>
    </w:p>
    <w:p w14:paraId="50DAF8CA" w14:textId="77777777" w:rsidR="00DF30E8" w:rsidRDefault="00000000">
      <w:pPr>
        <w:pStyle w:val="FirstParagraph"/>
      </w:pPr>
      <w:r>
        <w:rPr>
          <w:b/>
          <w:bCs/>
        </w:rPr>
        <w:t>Current cost center codes and their pool assignments:</w:t>
      </w:r>
    </w:p>
    <w:tbl>
      <w:tblPr>
        <w:tblStyle w:val="Table"/>
        <w:tblW w:w="0" w:type="auto"/>
        <w:jc w:val="center"/>
        <w:tblLook w:val="0020" w:firstRow="1" w:lastRow="0" w:firstColumn="0" w:lastColumn="0" w:noHBand="0" w:noVBand="0"/>
      </w:tblPr>
      <w:tblGrid>
        <w:gridCol w:w="1926"/>
        <w:gridCol w:w="4203"/>
        <w:gridCol w:w="779"/>
      </w:tblGrid>
      <w:tr w:rsidR="00DF30E8" w14:paraId="31E2F93A" w14:textId="77777777" w:rsidTr="00C555C1">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B873DBD" w14:textId="77777777" w:rsidR="00DF30E8" w:rsidRDefault="00000000">
            <w:pPr>
              <w:pStyle w:val="Compact"/>
            </w:pPr>
            <w:r>
              <w:t>Code</w:t>
            </w:r>
          </w:p>
        </w:tc>
        <w:tc>
          <w:tcPr>
            <w:tcW w:w="0" w:type="auto"/>
          </w:tcPr>
          <w:p w14:paraId="0E586C22" w14:textId="77777777" w:rsidR="00DF30E8" w:rsidRDefault="00000000">
            <w:pPr>
              <w:pStyle w:val="Compact"/>
            </w:pPr>
            <w:r>
              <w:t>Description</w:t>
            </w:r>
          </w:p>
        </w:tc>
        <w:tc>
          <w:tcPr>
            <w:tcW w:w="0" w:type="auto"/>
          </w:tcPr>
          <w:p w14:paraId="7138FA30" w14:textId="77777777" w:rsidR="00DF30E8" w:rsidRDefault="00000000">
            <w:pPr>
              <w:pStyle w:val="Compact"/>
            </w:pPr>
            <w:r>
              <w:t>Pool</w:t>
            </w:r>
          </w:p>
        </w:tc>
      </w:tr>
      <w:tr w:rsidR="00DF30E8" w14:paraId="3E4C534C" w14:textId="77777777" w:rsidTr="00C555C1">
        <w:trPr>
          <w:jc w:val="center"/>
        </w:trPr>
        <w:tc>
          <w:tcPr>
            <w:tcW w:w="0" w:type="auto"/>
          </w:tcPr>
          <w:p w14:paraId="6B7FEE39" w14:textId="77777777" w:rsidR="00DF30E8" w:rsidRDefault="00000000">
            <w:pPr>
              <w:pStyle w:val="Compact"/>
            </w:pPr>
            <w:r>
              <w:t>THS-25-01-DEV</w:t>
            </w:r>
          </w:p>
        </w:tc>
        <w:tc>
          <w:tcPr>
            <w:tcW w:w="0" w:type="auto"/>
          </w:tcPr>
          <w:p w14:paraId="25E2FDD7" w14:textId="77777777" w:rsidR="00DF30E8" w:rsidRDefault="00000000">
            <w:pPr>
              <w:pStyle w:val="Compact"/>
            </w:pPr>
            <w:r>
              <w:t>Business Development</w:t>
            </w:r>
          </w:p>
        </w:tc>
        <w:tc>
          <w:tcPr>
            <w:tcW w:w="0" w:type="auto"/>
          </w:tcPr>
          <w:p w14:paraId="1030E19F" w14:textId="77777777" w:rsidR="00DF30E8" w:rsidRDefault="00000000">
            <w:pPr>
              <w:pStyle w:val="Compact"/>
            </w:pPr>
            <w:r>
              <w:t>SGA</w:t>
            </w:r>
          </w:p>
        </w:tc>
      </w:tr>
      <w:tr w:rsidR="00DF30E8" w14:paraId="3E75A8AB" w14:textId="77777777" w:rsidTr="00C555C1">
        <w:trPr>
          <w:jc w:val="center"/>
        </w:trPr>
        <w:tc>
          <w:tcPr>
            <w:tcW w:w="0" w:type="auto"/>
          </w:tcPr>
          <w:p w14:paraId="11246FD7" w14:textId="77777777" w:rsidR="00DF30E8" w:rsidRDefault="00000000">
            <w:pPr>
              <w:pStyle w:val="Compact"/>
            </w:pPr>
            <w:r>
              <w:t>THS-25-01-BAD</w:t>
            </w:r>
          </w:p>
        </w:tc>
        <w:tc>
          <w:tcPr>
            <w:tcW w:w="0" w:type="auto"/>
          </w:tcPr>
          <w:p w14:paraId="3DE34DCB" w14:textId="77777777" w:rsidR="00DF30E8" w:rsidRDefault="00000000">
            <w:pPr>
              <w:pStyle w:val="Compact"/>
            </w:pPr>
            <w:r>
              <w:t>Business Administration</w:t>
            </w:r>
          </w:p>
        </w:tc>
        <w:tc>
          <w:tcPr>
            <w:tcW w:w="0" w:type="auto"/>
          </w:tcPr>
          <w:p w14:paraId="542C318C" w14:textId="77777777" w:rsidR="00DF30E8" w:rsidRDefault="00000000">
            <w:pPr>
              <w:pStyle w:val="Compact"/>
            </w:pPr>
            <w:r>
              <w:t>SGA</w:t>
            </w:r>
          </w:p>
        </w:tc>
      </w:tr>
      <w:tr w:rsidR="00DF30E8" w14:paraId="32BA943A" w14:textId="77777777" w:rsidTr="00C555C1">
        <w:trPr>
          <w:jc w:val="center"/>
        </w:trPr>
        <w:tc>
          <w:tcPr>
            <w:tcW w:w="0" w:type="auto"/>
          </w:tcPr>
          <w:p w14:paraId="42D475AC" w14:textId="77777777" w:rsidR="00DF30E8" w:rsidRDefault="00000000">
            <w:pPr>
              <w:pStyle w:val="Compact"/>
            </w:pPr>
            <w:r>
              <w:t>THS-25-01-MTG</w:t>
            </w:r>
          </w:p>
        </w:tc>
        <w:tc>
          <w:tcPr>
            <w:tcW w:w="0" w:type="auto"/>
          </w:tcPr>
          <w:p w14:paraId="6BB3213F" w14:textId="77777777" w:rsidR="00DF30E8" w:rsidRDefault="00000000">
            <w:pPr>
              <w:pStyle w:val="Compact"/>
            </w:pPr>
            <w:r>
              <w:t>Internal Meetings</w:t>
            </w:r>
          </w:p>
        </w:tc>
        <w:tc>
          <w:tcPr>
            <w:tcW w:w="0" w:type="auto"/>
          </w:tcPr>
          <w:p w14:paraId="520F5EF4" w14:textId="77777777" w:rsidR="00DF30E8" w:rsidRDefault="00000000">
            <w:pPr>
              <w:pStyle w:val="Compact"/>
            </w:pPr>
            <w:r>
              <w:t>SGA</w:t>
            </w:r>
          </w:p>
        </w:tc>
      </w:tr>
      <w:tr w:rsidR="00DF30E8" w14:paraId="3B0FD091" w14:textId="77777777" w:rsidTr="00C555C1">
        <w:trPr>
          <w:jc w:val="center"/>
        </w:trPr>
        <w:tc>
          <w:tcPr>
            <w:tcW w:w="0" w:type="auto"/>
          </w:tcPr>
          <w:p w14:paraId="3AD549E4" w14:textId="77777777" w:rsidR="00DF30E8" w:rsidRDefault="00000000">
            <w:pPr>
              <w:pStyle w:val="Compact"/>
            </w:pPr>
            <w:r>
              <w:t>THS-25-01-SAD</w:t>
            </w:r>
          </w:p>
        </w:tc>
        <w:tc>
          <w:tcPr>
            <w:tcW w:w="0" w:type="auto"/>
          </w:tcPr>
          <w:p w14:paraId="23807AFC" w14:textId="77777777" w:rsidR="00DF30E8" w:rsidRDefault="00000000">
            <w:pPr>
              <w:pStyle w:val="Compact"/>
            </w:pPr>
            <w:r>
              <w:t>Starset Dev Cost</w:t>
            </w:r>
          </w:p>
        </w:tc>
        <w:tc>
          <w:tcPr>
            <w:tcW w:w="0" w:type="auto"/>
          </w:tcPr>
          <w:p w14:paraId="12FAD025" w14:textId="77777777" w:rsidR="00DF30E8" w:rsidRDefault="00000000">
            <w:pPr>
              <w:pStyle w:val="Compact"/>
            </w:pPr>
            <w:r>
              <w:t>DATA</w:t>
            </w:r>
          </w:p>
        </w:tc>
      </w:tr>
      <w:tr w:rsidR="00DF30E8" w14:paraId="212F4BAC" w14:textId="77777777" w:rsidTr="00C555C1">
        <w:trPr>
          <w:jc w:val="center"/>
        </w:trPr>
        <w:tc>
          <w:tcPr>
            <w:tcW w:w="0" w:type="auto"/>
          </w:tcPr>
          <w:p w14:paraId="68C11C32" w14:textId="77777777" w:rsidR="00DF30E8" w:rsidRDefault="00000000">
            <w:pPr>
              <w:pStyle w:val="Compact"/>
            </w:pPr>
            <w:r>
              <w:t>THS-25-01-OOO</w:t>
            </w:r>
          </w:p>
        </w:tc>
        <w:tc>
          <w:tcPr>
            <w:tcW w:w="0" w:type="auto"/>
          </w:tcPr>
          <w:p w14:paraId="53639BFB" w14:textId="77777777" w:rsidR="00DF30E8" w:rsidRDefault="00000000">
            <w:pPr>
              <w:pStyle w:val="Compact"/>
            </w:pPr>
            <w:r>
              <w:t>Out of Office</w:t>
            </w:r>
          </w:p>
        </w:tc>
        <w:tc>
          <w:tcPr>
            <w:tcW w:w="0" w:type="auto"/>
          </w:tcPr>
          <w:p w14:paraId="2F63C2A7" w14:textId="77777777" w:rsidR="00DF30E8" w:rsidRDefault="00000000">
            <w:pPr>
              <w:pStyle w:val="Compact"/>
            </w:pPr>
            <w:r>
              <w:t>SGA</w:t>
            </w:r>
          </w:p>
        </w:tc>
      </w:tr>
      <w:tr w:rsidR="00DF30E8" w14:paraId="6640EDC4" w14:textId="77777777" w:rsidTr="00C555C1">
        <w:trPr>
          <w:jc w:val="center"/>
        </w:trPr>
        <w:tc>
          <w:tcPr>
            <w:tcW w:w="0" w:type="auto"/>
          </w:tcPr>
          <w:p w14:paraId="2E76D882" w14:textId="77777777" w:rsidR="00DF30E8" w:rsidRDefault="00000000">
            <w:pPr>
              <w:pStyle w:val="Compact"/>
            </w:pPr>
            <w:r>
              <w:t>THS-25-01-PAD</w:t>
            </w:r>
          </w:p>
        </w:tc>
        <w:tc>
          <w:tcPr>
            <w:tcW w:w="0" w:type="auto"/>
          </w:tcPr>
          <w:p w14:paraId="205CB098" w14:textId="77777777" w:rsidR="00DF30E8" w:rsidRDefault="00000000">
            <w:pPr>
              <w:pStyle w:val="Compact"/>
            </w:pPr>
            <w:r>
              <w:t>Personal Administration</w:t>
            </w:r>
          </w:p>
        </w:tc>
        <w:tc>
          <w:tcPr>
            <w:tcW w:w="0" w:type="auto"/>
          </w:tcPr>
          <w:p w14:paraId="1EEF87FE" w14:textId="77777777" w:rsidR="00DF30E8" w:rsidRDefault="00000000">
            <w:pPr>
              <w:pStyle w:val="Compact"/>
            </w:pPr>
            <w:r>
              <w:t>SGA</w:t>
            </w:r>
          </w:p>
        </w:tc>
      </w:tr>
      <w:tr w:rsidR="00DF30E8" w14:paraId="1E88A437" w14:textId="77777777" w:rsidTr="00C555C1">
        <w:trPr>
          <w:jc w:val="center"/>
        </w:trPr>
        <w:tc>
          <w:tcPr>
            <w:tcW w:w="0" w:type="auto"/>
          </w:tcPr>
          <w:p w14:paraId="63EE77E1" w14:textId="77777777" w:rsidR="00DF30E8" w:rsidRDefault="00000000">
            <w:pPr>
              <w:pStyle w:val="Compact"/>
            </w:pPr>
            <w:r>
              <w:t>THS-25-01-PRO</w:t>
            </w:r>
          </w:p>
        </w:tc>
        <w:tc>
          <w:tcPr>
            <w:tcW w:w="0" w:type="auto"/>
          </w:tcPr>
          <w:p w14:paraId="4E79E05C" w14:textId="77777777" w:rsidR="00DF30E8" w:rsidRDefault="00000000">
            <w:pPr>
              <w:pStyle w:val="Compact"/>
            </w:pPr>
            <w:r>
              <w:t>Professional Development</w:t>
            </w:r>
          </w:p>
        </w:tc>
        <w:tc>
          <w:tcPr>
            <w:tcW w:w="0" w:type="auto"/>
          </w:tcPr>
          <w:p w14:paraId="34A0F94C" w14:textId="77777777" w:rsidR="00DF30E8" w:rsidRDefault="00000000">
            <w:pPr>
              <w:pStyle w:val="Compact"/>
            </w:pPr>
            <w:r>
              <w:t>SGA</w:t>
            </w:r>
          </w:p>
        </w:tc>
      </w:tr>
      <w:tr w:rsidR="00DF30E8" w14:paraId="723D4B58" w14:textId="77777777" w:rsidTr="00C555C1">
        <w:trPr>
          <w:jc w:val="center"/>
        </w:trPr>
        <w:tc>
          <w:tcPr>
            <w:tcW w:w="0" w:type="auto"/>
          </w:tcPr>
          <w:p w14:paraId="7B109005" w14:textId="77777777" w:rsidR="00DF30E8" w:rsidRDefault="00000000">
            <w:pPr>
              <w:pStyle w:val="Compact"/>
            </w:pPr>
            <w:r>
              <w:t>THS-25-01-SPP</w:t>
            </w:r>
          </w:p>
        </w:tc>
        <w:tc>
          <w:tcPr>
            <w:tcW w:w="0" w:type="auto"/>
          </w:tcPr>
          <w:p w14:paraId="4571F8F1" w14:textId="77777777" w:rsidR="00DF30E8" w:rsidRDefault="00000000">
            <w:pPr>
              <w:pStyle w:val="Compact"/>
            </w:pPr>
            <w:r>
              <w:t>Internal Special Projects</w:t>
            </w:r>
          </w:p>
        </w:tc>
        <w:tc>
          <w:tcPr>
            <w:tcW w:w="0" w:type="auto"/>
          </w:tcPr>
          <w:p w14:paraId="40680965" w14:textId="77777777" w:rsidR="00DF30E8" w:rsidRDefault="00000000">
            <w:pPr>
              <w:pStyle w:val="Compact"/>
            </w:pPr>
            <w:r>
              <w:t>SGA</w:t>
            </w:r>
          </w:p>
        </w:tc>
      </w:tr>
      <w:tr w:rsidR="00DF30E8" w14:paraId="114925F6" w14:textId="77777777" w:rsidTr="00C555C1">
        <w:trPr>
          <w:jc w:val="center"/>
        </w:trPr>
        <w:tc>
          <w:tcPr>
            <w:tcW w:w="0" w:type="auto"/>
          </w:tcPr>
          <w:p w14:paraId="34805F23" w14:textId="77777777" w:rsidR="00DF30E8" w:rsidRDefault="00000000">
            <w:pPr>
              <w:pStyle w:val="Compact"/>
            </w:pPr>
            <w:r>
              <w:t>THS-25-01-TEA</w:t>
            </w:r>
          </w:p>
        </w:tc>
        <w:tc>
          <w:tcPr>
            <w:tcW w:w="0" w:type="auto"/>
          </w:tcPr>
          <w:p w14:paraId="3BCE9868" w14:textId="77777777" w:rsidR="00DF30E8" w:rsidRDefault="00000000">
            <w:pPr>
              <w:pStyle w:val="Compact"/>
            </w:pPr>
            <w:r>
              <w:t>Team Building</w:t>
            </w:r>
          </w:p>
        </w:tc>
        <w:tc>
          <w:tcPr>
            <w:tcW w:w="0" w:type="auto"/>
          </w:tcPr>
          <w:p w14:paraId="7FB9ADB0" w14:textId="77777777" w:rsidR="00DF30E8" w:rsidRDefault="00000000">
            <w:pPr>
              <w:pStyle w:val="Compact"/>
            </w:pPr>
            <w:r>
              <w:t>SGA</w:t>
            </w:r>
          </w:p>
        </w:tc>
      </w:tr>
      <w:tr w:rsidR="00DF30E8" w14:paraId="2C0E62D4" w14:textId="77777777" w:rsidTr="00C555C1">
        <w:trPr>
          <w:jc w:val="center"/>
        </w:trPr>
        <w:tc>
          <w:tcPr>
            <w:tcW w:w="0" w:type="auto"/>
          </w:tcPr>
          <w:p w14:paraId="3E420CEF" w14:textId="77777777" w:rsidR="00DF30E8" w:rsidRDefault="00000000">
            <w:pPr>
              <w:pStyle w:val="Compact"/>
            </w:pPr>
            <w:r>
              <w:t>THS-25-01-COM</w:t>
            </w:r>
          </w:p>
        </w:tc>
        <w:tc>
          <w:tcPr>
            <w:tcW w:w="0" w:type="auto"/>
          </w:tcPr>
          <w:p w14:paraId="06F6FA01" w14:textId="77777777" w:rsidR="00DF30E8" w:rsidRDefault="00000000">
            <w:pPr>
              <w:pStyle w:val="Compact"/>
            </w:pPr>
            <w:r>
              <w:t>Communications</w:t>
            </w:r>
          </w:p>
        </w:tc>
        <w:tc>
          <w:tcPr>
            <w:tcW w:w="0" w:type="auto"/>
          </w:tcPr>
          <w:p w14:paraId="4BE1AF49" w14:textId="77777777" w:rsidR="00DF30E8" w:rsidRDefault="00000000">
            <w:pPr>
              <w:pStyle w:val="Compact"/>
            </w:pPr>
            <w:r>
              <w:t>SGA</w:t>
            </w:r>
          </w:p>
        </w:tc>
      </w:tr>
      <w:tr w:rsidR="00DF30E8" w14:paraId="3CFBF4D2" w14:textId="77777777" w:rsidTr="00C555C1">
        <w:trPr>
          <w:jc w:val="center"/>
        </w:trPr>
        <w:tc>
          <w:tcPr>
            <w:tcW w:w="0" w:type="auto"/>
          </w:tcPr>
          <w:p w14:paraId="3EF23AA7" w14:textId="77777777" w:rsidR="00DF30E8" w:rsidRDefault="00000000">
            <w:pPr>
              <w:pStyle w:val="Compact"/>
            </w:pPr>
            <w:r>
              <w:t>THS-25-01-CSR</w:t>
            </w:r>
          </w:p>
        </w:tc>
        <w:tc>
          <w:tcPr>
            <w:tcW w:w="0" w:type="auto"/>
          </w:tcPr>
          <w:p w14:paraId="6DC0F820" w14:textId="77777777" w:rsidR="00DF30E8" w:rsidRDefault="00000000">
            <w:pPr>
              <w:pStyle w:val="Compact"/>
            </w:pPr>
            <w:r>
              <w:t>Corporate Social Responsibility</w:t>
            </w:r>
          </w:p>
        </w:tc>
        <w:tc>
          <w:tcPr>
            <w:tcW w:w="0" w:type="auto"/>
          </w:tcPr>
          <w:p w14:paraId="1EFBCD34" w14:textId="77777777" w:rsidR="00DF30E8" w:rsidRDefault="00000000">
            <w:pPr>
              <w:pStyle w:val="Compact"/>
            </w:pPr>
            <w:r>
              <w:t>SGA</w:t>
            </w:r>
          </w:p>
        </w:tc>
      </w:tr>
      <w:tr w:rsidR="00DF30E8" w14:paraId="53F379E5" w14:textId="77777777" w:rsidTr="00C555C1">
        <w:trPr>
          <w:jc w:val="center"/>
        </w:trPr>
        <w:tc>
          <w:tcPr>
            <w:tcW w:w="0" w:type="auto"/>
          </w:tcPr>
          <w:p w14:paraId="28EBE738" w14:textId="77777777" w:rsidR="00DF30E8" w:rsidRDefault="00000000">
            <w:pPr>
              <w:pStyle w:val="Compact"/>
            </w:pPr>
            <w:r>
              <w:t>HC3</w:t>
            </w:r>
          </w:p>
        </w:tc>
        <w:tc>
          <w:tcPr>
            <w:tcW w:w="0" w:type="auto"/>
          </w:tcPr>
          <w:p w14:paraId="7D121B64" w14:textId="77777777" w:rsidR="00DF30E8" w:rsidRDefault="00000000">
            <w:pPr>
              <w:pStyle w:val="Compact"/>
            </w:pPr>
            <w:r>
              <w:t>Health Care Council of Chicago</w:t>
            </w:r>
          </w:p>
        </w:tc>
        <w:tc>
          <w:tcPr>
            <w:tcW w:w="0" w:type="auto"/>
          </w:tcPr>
          <w:p w14:paraId="3AB1D98B" w14:textId="77777777" w:rsidR="00DF30E8" w:rsidRDefault="00000000">
            <w:pPr>
              <w:pStyle w:val="Compact"/>
            </w:pPr>
            <w:r>
              <w:t>SGA</w:t>
            </w:r>
          </w:p>
        </w:tc>
      </w:tr>
      <w:tr w:rsidR="00DF30E8" w14:paraId="0690216B" w14:textId="77777777" w:rsidTr="00C555C1">
        <w:trPr>
          <w:jc w:val="center"/>
        </w:trPr>
        <w:tc>
          <w:tcPr>
            <w:tcW w:w="0" w:type="auto"/>
          </w:tcPr>
          <w:p w14:paraId="3E981C36" w14:textId="77777777" w:rsidR="00DF30E8" w:rsidRDefault="00000000">
            <w:pPr>
              <w:pStyle w:val="Compact"/>
            </w:pPr>
            <w:r>
              <w:t>GEH</w:t>
            </w:r>
          </w:p>
        </w:tc>
        <w:tc>
          <w:tcPr>
            <w:tcW w:w="0" w:type="auto"/>
          </w:tcPr>
          <w:p w14:paraId="6C7F0B2C" w14:textId="77777777" w:rsidR="00DF30E8" w:rsidRDefault="00000000">
            <w:pPr>
              <w:pStyle w:val="Compact"/>
            </w:pPr>
            <w:r>
              <w:t>Work Place Well-Being Administration</w:t>
            </w:r>
          </w:p>
        </w:tc>
        <w:tc>
          <w:tcPr>
            <w:tcW w:w="0" w:type="auto"/>
          </w:tcPr>
          <w:p w14:paraId="60DC82BB" w14:textId="77777777" w:rsidR="00DF30E8" w:rsidRDefault="00000000">
            <w:pPr>
              <w:pStyle w:val="Compact"/>
            </w:pPr>
            <w:r>
              <w:t>SGA</w:t>
            </w:r>
          </w:p>
        </w:tc>
      </w:tr>
      <w:tr w:rsidR="00DF30E8" w14:paraId="462DD2FC" w14:textId="77777777" w:rsidTr="00C555C1">
        <w:trPr>
          <w:jc w:val="center"/>
        </w:trPr>
        <w:tc>
          <w:tcPr>
            <w:tcW w:w="0" w:type="auto"/>
          </w:tcPr>
          <w:p w14:paraId="625EC569" w14:textId="77777777" w:rsidR="00DF30E8" w:rsidRDefault="00000000">
            <w:pPr>
              <w:pStyle w:val="Compact"/>
            </w:pPr>
            <w:r>
              <w:t>BEH-25-01-APR</w:t>
            </w:r>
          </w:p>
        </w:tc>
        <w:tc>
          <w:tcPr>
            <w:tcW w:w="0" w:type="auto"/>
          </w:tcPr>
          <w:p w14:paraId="68C8282E" w14:textId="77777777" w:rsidR="00DF30E8" w:rsidRDefault="00000000">
            <w:pPr>
              <w:pStyle w:val="Compact"/>
            </w:pPr>
            <w:r>
              <w:t>Alliance for Addiction Payment Reform</w:t>
            </w:r>
          </w:p>
        </w:tc>
        <w:tc>
          <w:tcPr>
            <w:tcW w:w="0" w:type="auto"/>
          </w:tcPr>
          <w:p w14:paraId="61BA6126" w14:textId="77777777" w:rsidR="00DF30E8" w:rsidRDefault="00000000">
            <w:pPr>
              <w:pStyle w:val="Compact"/>
            </w:pPr>
            <w:r>
              <w:t>SGA</w:t>
            </w:r>
          </w:p>
        </w:tc>
      </w:tr>
    </w:tbl>
    <w:p w14:paraId="6703E1C4" w14:textId="77777777" w:rsidR="00DF30E8" w:rsidRDefault="00000000">
      <w:pPr>
        <w:pStyle w:val="BlockText"/>
      </w:pPr>
      <w:r>
        <w:rPr>
          <w:b/>
          <w:bCs/>
        </w:rPr>
        <w:lastRenderedPageBreak/>
        <w:t>ADJUSTABLE:</w:t>
      </w:r>
      <w:r>
        <w:t xml:space="preserve"> This list and pool assignments are hardcoded. To add, remove, or reassign a cost center, the code must be updated. Any </w:t>
      </w:r>
      <w:r>
        <w:rPr>
          <w:rStyle w:val="VerbatimChar"/>
        </w:rPr>
        <w:t>THS-</w:t>
      </w:r>
      <w:r>
        <w:t xml:space="preserve"> code not in this list that also doesn’t appear in the Pro Forma is auto-classified as a cost center with pool SGA by default. Currently only THS-25-01-SAD feeds the DATA pool.</w:t>
      </w:r>
    </w:p>
    <w:p w14:paraId="1AF8FC57" w14:textId="77777777" w:rsidR="00DF30E8" w:rsidRDefault="00000000">
      <w:pPr>
        <w:pStyle w:val="Heading3"/>
      </w:pPr>
      <w:bookmarkStart w:id="13" w:name="non-revenue-client"/>
      <w:bookmarkEnd w:id="12"/>
      <w:r>
        <w:t>2.3 Non-Revenue Client</w:t>
      </w:r>
    </w:p>
    <w:p w14:paraId="5CF54ACE" w14:textId="77777777" w:rsidR="00DF30E8" w:rsidRDefault="00000000">
      <w:pPr>
        <w:pStyle w:val="FirstParagraph"/>
      </w:pPr>
      <w:r>
        <w:t xml:space="preserve">A project that has hours or expenses logged in Harvest but is not a Revenue Center (not in Pro Forma) and not a Cost Center (not in config, doesn’t start with </w:t>
      </w:r>
      <w:r>
        <w:rPr>
          <w:rStyle w:val="VerbatimChar"/>
        </w:rPr>
        <w:t>THS-</w:t>
      </w:r>
      <w:r>
        <w:t>). These represent client work where no revenue was booked for the month.</w:t>
      </w:r>
    </w:p>
    <w:p w14:paraId="49439953" w14:textId="77777777" w:rsidR="00DF30E8" w:rsidRDefault="00000000">
      <w:pPr>
        <w:pStyle w:val="BodyText"/>
      </w:pPr>
      <w:r>
        <w:t>Non-revenue clients appear in the output for visibility but do not receive overhead allocations. Their costs are tracked but not included in margin calculations.</w:t>
      </w:r>
    </w:p>
    <w:p w14:paraId="415DF2D9" w14:textId="77777777" w:rsidR="00DF30E8" w:rsidRDefault="00000000">
      <w:pPr>
        <w:pStyle w:val="Heading3"/>
      </w:pPr>
      <w:bookmarkStart w:id="14" w:name="conflict-rule"/>
      <w:bookmarkEnd w:id="13"/>
      <w:r>
        <w:t>2.4 Conflict Rule</w:t>
      </w:r>
    </w:p>
    <w:p w14:paraId="4C3A45AC" w14:textId="77777777" w:rsidR="00DF30E8" w:rsidRDefault="00000000">
      <w:pPr>
        <w:pStyle w:val="FirstParagraph"/>
      </w:pPr>
      <w:r>
        <w:t xml:space="preserve">A contract code </w:t>
      </w:r>
      <w:r>
        <w:rPr>
          <w:b/>
          <w:bCs/>
        </w:rPr>
        <w:t>cannot</w:t>
      </w:r>
      <w:r>
        <w:t xml:space="preserve"> be both a Revenue Center (in Pro Forma) and a Cost Center (in the config list). If this occurs, the pipeline halts with an error. The conflict must be resolved in the source data.</w:t>
      </w:r>
    </w:p>
    <w:p w14:paraId="728FC554" w14:textId="057261BB" w:rsidR="00DF30E8" w:rsidRDefault="00DF30E8"/>
    <w:p w14:paraId="6A34C4E4" w14:textId="77777777" w:rsidR="00C555C1" w:rsidRDefault="00C555C1">
      <w:pPr>
        <w:rPr>
          <w:rFonts w:asciiTheme="majorHAnsi" w:eastAsiaTheme="majorEastAsia" w:hAnsiTheme="majorHAnsi" w:cstheme="majorBidi"/>
          <w:color w:val="0F4761" w:themeColor="accent1" w:themeShade="BF"/>
          <w:sz w:val="32"/>
          <w:szCs w:val="32"/>
        </w:rPr>
      </w:pPr>
      <w:bookmarkStart w:id="15" w:name="category-mapping"/>
      <w:bookmarkEnd w:id="9"/>
      <w:bookmarkEnd w:id="14"/>
      <w:r>
        <w:br w:type="page"/>
      </w:r>
    </w:p>
    <w:p w14:paraId="10920C4C" w14:textId="432E81C2" w:rsidR="00DF30E8" w:rsidRDefault="00000000">
      <w:pPr>
        <w:pStyle w:val="Heading2"/>
      </w:pPr>
      <w:bookmarkStart w:id="16" w:name="_Toc223430064"/>
      <w:r>
        <w:lastRenderedPageBreak/>
        <w:t>3. Category Mapping</w:t>
      </w:r>
      <w:bookmarkEnd w:id="16"/>
    </w:p>
    <w:p w14:paraId="4DEE7EEC" w14:textId="77777777" w:rsidR="00DF30E8" w:rsidRDefault="00000000">
      <w:pPr>
        <w:pStyle w:val="FirstParagraph"/>
      </w:pPr>
      <w:r>
        <w:t>Pro Forma section headers (column B, when column C is empty) are mapped to human-readable analysis categories. This determines how projects are grouped in the results view.</w:t>
      </w:r>
    </w:p>
    <w:tbl>
      <w:tblPr>
        <w:tblStyle w:val="Table"/>
        <w:tblW w:w="0" w:type="auto"/>
        <w:jc w:val="center"/>
        <w:tblLook w:val="0020" w:firstRow="1" w:lastRow="0" w:firstColumn="0" w:lastColumn="0" w:noHBand="0" w:noVBand="0"/>
      </w:tblPr>
      <w:tblGrid>
        <w:gridCol w:w="1613"/>
        <w:gridCol w:w="2510"/>
      </w:tblGrid>
      <w:tr w:rsidR="00DF30E8" w14:paraId="11FA2B12" w14:textId="77777777" w:rsidTr="00C555C1">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188103B" w14:textId="77777777" w:rsidR="00DF30E8" w:rsidRDefault="00000000">
            <w:pPr>
              <w:pStyle w:val="Compact"/>
            </w:pPr>
            <w:r>
              <w:t>Section Code</w:t>
            </w:r>
          </w:p>
        </w:tc>
        <w:tc>
          <w:tcPr>
            <w:tcW w:w="0" w:type="auto"/>
          </w:tcPr>
          <w:p w14:paraId="6BE381DF" w14:textId="77777777" w:rsidR="00DF30E8" w:rsidRDefault="00000000">
            <w:pPr>
              <w:pStyle w:val="Compact"/>
            </w:pPr>
            <w:r>
              <w:t>Analysis Category</w:t>
            </w:r>
          </w:p>
        </w:tc>
      </w:tr>
      <w:tr w:rsidR="00DF30E8" w14:paraId="4EDABDCC" w14:textId="77777777" w:rsidTr="00C555C1">
        <w:trPr>
          <w:jc w:val="center"/>
        </w:trPr>
        <w:tc>
          <w:tcPr>
            <w:tcW w:w="0" w:type="auto"/>
          </w:tcPr>
          <w:p w14:paraId="455309F6" w14:textId="77777777" w:rsidR="00DF30E8" w:rsidRDefault="00000000">
            <w:pPr>
              <w:pStyle w:val="Compact"/>
            </w:pPr>
            <w:r>
              <w:t>BEH</w:t>
            </w:r>
          </w:p>
        </w:tc>
        <w:tc>
          <w:tcPr>
            <w:tcW w:w="0" w:type="auto"/>
          </w:tcPr>
          <w:p w14:paraId="1DB1F398" w14:textId="77777777" w:rsidR="00DF30E8" w:rsidRDefault="00000000">
            <w:pPr>
              <w:pStyle w:val="Compact"/>
            </w:pPr>
            <w:r>
              <w:t>Behavioral Health</w:t>
            </w:r>
          </w:p>
        </w:tc>
      </w:tr>
      <w:tr w:rsidR="00DF30E8" w14:paraId="19FBC989" w14:textId="77777777" w:rsidTr="00C555C1">
        <w:trPr>
          <w:jc w:val="center"/>
        </w:trPr>
        <w:tc>
          <w:tcPr>
            <w:tcW w:w="0" w:type="auto"/>
          </w:tcPr>
          <w:p w14:paraId="38B02210" w14:textId="77777777" w:rsidR="00DF30E8" w:rsidRDefault="00000000">
            <w:pPr>
              <w:pStyle w:val="Compact"/>
            </w:pPr>
            <w:r>
              <w:t>PAD</w:t>
            </w:r>
          </w:p>
        </w:tc>
        <w:tc>
          <w:tcPr>
            <w:tcW w:w="0" w:type="auto"/>
          </w:tcPr>
          <w:p w14:paraId="58178951" w14:textId="24EC446A" w:rsidR="00DF30E8" w:rsidRDefault="00C555C1">
            <w:pPr>
              <w:pStyle w:val="Compact"/>
            </w:pPr>
            <w:r>
              <w:t>Payment</w:t>
            </w:r>
            <w:r w:rsidR="00000000">
              <w:t xml:space="preserve"> Analytics</w:t>
            </w:r>
          </w:p>
        </w:tc>
      </w:tr>
      <w:tr w:rsidR="00DF30E8" w14:paraId="15D38A99" w14:textId="77777777" w:rsidTr="00C555C1">
        <w:trPr>
          <w:jc w:val="center"/>
        </w:trPr>
        <w:tc>
          <w:tcPr>
            <w:tcW w:w="0" w:type="auto"/>
          </w:tcPr>
          <w:p w14:paraId="6B6F4FD4" w14:textId="77777777" w:rsidR="00DF30E8" w:rsidRDefault="00000000">
            <w:pPr>
              <w:pStyle w:val="Compact"/>
            </w:pPr>
            <w:r>
              <w:t>MAR</w:t>
            </w:r>
          </w:p>
        </w:tc>
        <w:tc>
          <w:tcPr>
            <w:tcW w:w="0" w:type="auto"/>
          </w:tcPr>
          <w:p w14:paraId="285667A9" w14:textId="77777777" w:rsidR="00DF30E8" w:rsidRDefault="00000000">
            <w:pPr>
              <w:pStyle w:val="Compact"/>
            </w:pPr>
            <w:r>
              <w:t>Market Research</w:t>
            </w:r>
          </w:p>
        </w:tc>
      </w:tr>
      <w:tr w:rsidR="00DF30E8" w14:paraId="03710FF3" w14:textId="77777777" w:rsidTr="00C555C1">
        <w:trPr>
          <w:jc w:val="center"/>
        </w:trPr>
        <w:tc>
          <w:tcPr>
            <w:tcW w:w="0" w:type="auto"/>
          </w:tcPr>
          <w:p w14:paraId="6F78DF01" w14:textId="77777777" w:rsidR="00DF30E8" w:rsidRDefault="00000000">
            <w:pPr>
              <w:pStyle w:val="Compact"/>
            </w:pPr>
            <w:r>
              <w:t>WWB</w:t>
            </w:r>
          </w:p>
        </w:tc>
        <w:tc>
          <w:tcPr>
            <w:tcW w:w="0" w:type="auto"/>
          </w:tcPr>
          <w:p w14:paraId="0B1017E3" w14:textId="77777777" w:rsidR="00DF30E8" w:rsidRDefault="00000000">
            <w:pPr>
              <w:pStyle w:val="Compact"/>
            </w:pPr>
            <w:r>
              <w:t>Workplace Well-Being</w:t>
            </w:r>
          </w:p>
        </w:tc>
      </w:tr>
      <w:tr w:rsidR="00DF30E8" w14:paraId="22E55A33" w14:textId="77777777" w:rsidTr="00C555C1">
        <w:trPr>
          <w:jc w:val="center"/>
        </w:trPr>
        <w:tc>
          <w:tcPr>
            <w:tcW w:w="0" w:type="auto"/>
          </w:tcPr>
          <w:p w14:paraId="237D7E66" w14:textId="77777777" w:rsidR="00DF30E8" w:rsidRDefault="00000000">
            <w:pPr>
              <w:pStyle w:val="Compact"/>
            </w:pPr>
            <w:r>
              <w:t>CMH</w:t>
            </w:r>
          </w:p>
        </w:tc>
        <w:tc>
          <w:tcPr>
            <w:tcW w:w="0" w:type="auto"/>
          </w:tcPr>
          <w:p w14:paraId="2066CD79" w14:textId="77777777" w:rsidR="00DF30E8" w:rsidRDefault="00000000">
            <w:pPr>
              <w:pStyle w:val="Compact"/>
            </w:pPr>
            <w:r>
              <w:t>Community Health</w:t>
            </w:r>
          </w:p>
        </w:tc>
      </w:tr>
    </w:tbl>
    <w:p w14:paraId="53C215B1" w14:textId="77777777" w:rsidR="00DF30E8" w:rsidRDefault="00000000">
      <w:pPr>
        <w:pStyle w:val="BlockText"/>
      </w:pPr>
      <w:r>
        <w:rPr>
          <w:b/>
          <w:bCs/>
        </w:rPr>
        <w:t>ADJUSTABLE:</w:t>
      </w:r>
      <w:r>
        <w:t xml:space="preserve"> If a section header in the Pro Forma doesn’t match any of these 5 codes, the project is assigned category “Unknown.” New service lines or renamed sections require adding an entry to this mapping.</w:t>
      </w:r>
    </w:p>
    <w:p w14:paraId="57C705DC" w14:textId="1AE7A195" w:rsidR="00DF30E8" w:rsidRDefault="00DF30E8"/>
    <w:p w14:paraId="4F8E2328" w14:textId="77777777" w:rsidR="00C555C1" w:rsidRDefault="00C555C1">
      <w:pPr>
        <w:rPr>
          <w:rFonts w:asciiTheme="majorHAnsi" w:eastAsiaTheme="majorEastAsia" w:hAnsiTheme="majorHAnsi" w:cstheme="majorBidi"/>
          <w:color w:val="0F4761" w:themeColor="accent1" w:themeShade="BF"/>
          <w:sz w:val="32"/>
          <w:szCs w:val="32"/>
        </w:rPr>
      </w:pPr>
      <w:bookmarkStart w:id="17" w:name="direct-cost-computation"/>
      <w:bookmarkEnd w:id="15"/>
      <w:r>
        <w:br w:type="page"/>
      </w:r>
    </w:p>
    <w:p w14:paraId="0938AB9B" w14:textId="68E2601D" w:rsidR="00DF30E8" w:rsidRDefault="00000000">
      <w:pPr>
        <w:pStyle w:val="Heading2"/>
      </w:pPr>
      <w:bookmarkStart w:id="18" w:name="_Toc223430065"/>
      <w:r>
        <w:lastRenderedPageBreak/>
        <w:t>4. Direct Cost Computation</w:t>
      </w:r>
      <w:bookmarkEnd w:id="18"/>
    </w:p>
    <w:p w14:paraId="5E1C1540" w14:textId="77777777" w:rsidR="00DF30E8" w:rsidRDefault="00000000">
      <w:pPr>
        <w:pStyle w:val="Heading3"/>
      </w:pPr>
      <w:bookmarkStart w:id="19" w:name="labor-cost"/>
      <w:r>
        <w:t>4.1 Labor Cost</w:t>
      </w:r>
    </w:p>
    <w:p w14:paraId="76681E13" w14:textId="77777777" w:rsidR="00DF30E8" w:rsidRDefault="00000000">
      <w:pPr>
        <w:pStyle w:val="FirstParagraph"/>
      </w:pPr>
      <w:r>
        <w:t>Each Harvest Hours row is joined to the Compensation file by Last Name. For every matched row:</w:t>
      </w:r>
    </w:p>
    <w:p w14:paraId="1356B957" w14:textId="77777777" w:rsidR="00DF30E8" w:rsidRDefault="00000000" w:rsidP="00C555C1">
      <w:pPr>
        <w:pStyle w:val="BlockText"/>
        <w:jc w:val="center"/>
      </w:pPr>
      <w:r>
        <w:rPr>
          <w:b/>
          <w:bCs/>
        </w:rPr>
        <w:t>laborCost = hours × hourlyCost</w:t>
      </w:r>
    </w:p>
    <w:p w14:paraId="0110EA71" w14:textId="77777777" w:rsidR="00DF30E8" w:rsidRDefault="00000000">
      <w:pPr>
        <w:pStyle w:val="FirstParagraph"/>
      </w:pPr>
      <w:r>
        <w:t>Results are aggregated by contract code to produce project-level totals.</w:t>
      </w:r>
    </w:p>
    <w:p w14:paraId="00FEAE7F" w14:textId="77777777" w:rsidR="00DF30E8" w:rsidRDefault="00000000">
      <w:pPr>
        <w:pStyle w:val="BodyText"/>
      </w:pPr>
      <w:r>
        <w:rPr>
          <w:b/>
          <w:bCs/>
        </w:rPr>
        <w:t>Missing staff behavior:</w:t>
      </w:r>
      <w:r>
        <w:t xml:space="preserve"> If a staff member appears in Harvest Hours but has no corresponding record in the Compensation file, their hours are entirely excluded from cost calculations. They are not costed at $0 — they are dropped. A warning is logged listing the missing staff names and total dropped hours.</w:t>
      </w:r>
    </w:p>
    <w:p w14:paraId="4578EF84" w14:textId="77777777" w:rsidR="00DF30E8" w:rsidRDefault="00000000">
      <w:pPr>
        <w:pStyle w:val="BodyText"/>
      </w:pPr>
      <w:r>
        <w:rPr>
          <w:b/>
          <w:bCs/>
        </w:rPr>
        <w:t>Detail level:</w:t>
      </w:r>
      <w:r>
        <w:t xml:space="preserve"> The pipeline also produces a drill-down table with hours and labor cost broken out by contract code + staff member, for per-person analysis.</w:t>
      </w:r>
    </w:p>
    <w:p w14:paraId="4B8974D4" w14:textId="77777777" w:rsidR="00DF30E8" w:rsidRDefault="00000000">
      <w:pPr>
        <w:pStyle w:val="Heading3"/>
      </w:pPr>
      <w:bookmarkStart w:id="20" w:name="expense-cost"/>
      <w:bookmarkEnd w:id="19"/>
      <w:r>
        <w:t>4.2 Expense Cost</w:t>
      </w:r>
    </w:p>
    <w:p w14:paraId="7353BA63" w14:textId="77777777" w:rsidR="00DF30E8" w:rsidRDefault="00000000">
      <w:pPr>
        <w:pStyle w:val="FirstParagraph"/>
      </w:pPr>
      <w:r>
        <w:t>Non-reimbursable expenses (filtered during loading per Rule 1.4) are summed by contract code. The total is applied as a direct cost to revenue centers, cost centers, and non-revenue clients alike.</w:t>
      </w:r>
    </w:p>
    <w:p w14:paraId="6E224BD7" w14:textId="77777777" w:rsidR="00DF30E8" w:rsidRDefault="00000000">
      <w:pPr>
        <w:pStyle w:val="Heading3"/>
      </w:pPr>
      <w:bookmarkStart w:id="21" w:name="cost-center-total-cost"/>
      <w:bookmarkEnd w:id="20"/>
      <w:r>
        <w:t>4.3 Cost Center Total Cost</w:t>
      </w:r>
    </w:p>
    <w:p w14:paraId="34C47C41" w14:textId="77777777" w:rsidR="00DF30E8" w:rsidRDefault="00000000" w:rsidP="00C555C1">
      <w:pPr>
        <w:pStyle w:val="BlockText"/>
        <w:jc w:val="center"/>
      </w:pPr>
      <w:r>
        <w:rPr>
          <w:b/>
          <w:bCs/>
        </w:rPr>
        <w:t>totalCost = laborCost + expenseCost</w:t>
      </w:r>
    </w:p>
    <w:p w14:paraId="70DF9AE8" w14:textId="77777777" w:rsidR="00DF30E8" w:rsidRDefault="00000000">
      <w:pPr>
        <w:pStyle w:val="FirstParagraph"/>
      </w:pPr>
      <w:r>
        <w:t>Cost centers have no revenue offset. Their total cost flows into the overhead pools based on their assigned pool (SGA or DATA).</w:t>
      </w:r>
    </w:p>
    <w:p w14:paraId="4D46B98E" w14:textId="72881033" w:rsidR="00DF30E8" w:rsidRDefault="00DF30E8"/>
    <w:p w14:paraId="0D182675" w14:textId="77777777" w:rsidR="00C555C1" w:rsidRDefault="00C555C1">
      <w:pPr>
        <w:rPr>
          <w:rFonts w:asciiTheme="majorHAnsi" w:eastAsiaTheme="majorEastAsia" w:hAnsiTheme="majorHAnsi" w:cstheme="majorBidi"/>
          <w:color w:val="0F4761" w:themeColor="accent1" w:themeShade="BF"/>
          <w:sz w:val="32"/>
          <w:szCs w:val="32"/>
        </w:rPr>
      </w:pPr>
      <w:bookmarkStart w:id="22" w:name="overhead-pool-calculation"/>
      <w:bookmarkEnd w:id="17"/>
      <w:bookmarkEnd w:id="21"/>
      <w:r>
        <w:br w:type="page"/>
      </w:r>
    </w:p>
    <w:p w14:paraId="2D495F6B" w14:textId="02658E7E" w:rsidR="00DF30E8" w:rsidRDefault="00000000">
      <w:pPr>
        <w:pStyle w:val="Heading2"/>
      </w:pPr>
      <w:bookmarkStart w:id="23" w:name="_Toc223430066"/>
      <w:r>
        <w:lastRenderedPageBreak/>
        <w:t>5. Overhead Pool Calculation</w:t>
      </w:r>
      <w:bookmarkEnd w:id="23"/>
    </w:p>
    <w:p w14:paraId="72DE55BF" w14:textId="77777777" w:rsidR="00DF30E8" w:rsidRDefault="00000000">
      <w:pPr>
        <w:pStyle w:val="FirstParagraph"/>
      </w:pPr>
      <w:r>
        <w:t>Three overhead pools are assembled from two sources: P&amp;L account buckets (from Rule 1.5) and cost center labor/expense costs (from Rules 2.2 and 4.3). These pools are then allocated to revenue centers in Section 6.</w:t>
      </w:r>
    </w:p>
    <w:p w14:paraId="568C8456" w14:textId="77777777" w:rsidR="00DF30E8" w:rsidRDefault="00000000">
      <w:pPr>
        <w:pStyle w:val="Heading3"/>
      </w:pPr>
      <w:bookmarkStart w:id="24" w:name="sga-pool"/>
      <w:r>
        <w:t>5.1 SGA Pool</w:t>
      </w:r>
    </w:p>
    <w:p w14:paraId="67BDAC22" w14:textId="77777777" w:rsidR="00DF30E8" w:rsidRDefault="00000000">
      <w:pPr>
        <w:pStyle w:val="BlockText"/>
      </w:pPr>
      <w:r>
        <w:rPr>
          <w:b/>
          <w:bCs/>
        </w:rPr>
        <w:t>sgaPool = (sum of all SGA-tagged P&amp;L accounts) + (total cost of all SGA-pool cost centers)</w:t>
      </w:r>
    </w:p>
    <w:p w14:paraId="72818CD5" w14:textId="77777777" w:rsidR="00DF30E8" w:rsidRDefault="00000000">
      <w:pPr>
        <w:pStyle w:val="FirstParagraph"/>
      </w:pPr>
      <w:r>
        <w:t>The SGA pool captures general selling, general &amp; administrative overhead from both the income statement and internal time/expense activity.</w:t>
      </w:r>
    </w:p>
    <w:p w14:paraId="6F04CA93" w14:textId="77777777" w:rsidR="00DF30E8" w:rsidRDefault="00000000">
      <w:pPr>
        <w:pStyle w:val="Heading3"/>
      </w:pPr>
      <w:bookmarkStart w:id="25" w:name="data-pool"/>
      <w:bookmarkEnd w:id="24"/>
      <w:r>
        <w:t>5.2 Data Pool</w:t>
      </w:r>
    </w:p>
    <w:p w14:paraId="25DC6BB4" w14:textId="77777777" w:rsidR="00DF30E8" w:rsidRDefault="00000000">
      <w:pPr>
        <w:pStyle w:val="BlockText"/>
      </w:pPr>
      <w:r>
        <w:rPr>
          <w:b/>
          <w:bCs/>
        </w:rPr>
        <w:t>dataPool = (sum of all DATA-tagged P&amp;L accounts) + (total cost of all DATA-pool cost centers)</w:t>
      </w:r>
    </w:p>
    <w:p w14:paraId="141CAD70" w14:textId="77777777" w:rsidR="00DF30E8" w:rsidRDefault="00000000">
      <w:pPr>
        <w:pStyle w:val="FirstParagraph"/>
      </w:pPr>
      <w:r>
        <w:t>Currently only THS-25-01-SAD (Starset Dev Cost) is assigned to the DATA pool from cost centers. All other cost centers feed SGA.</w:t>
      </w:r>
    </w:p>
    <w:p w14:paraId="2B365B62" w14:textId="77777777" w:rsidR="00DF30E8" w:rsidRDefault="00000000">
      <w:pPr>
        <w:pStyle w:val="Heading3"/>
      </w:pPr>
      <w:bookmarkStart w:id="26" w:name="workplace-pool"/>
      <w:bookmarkEnd w:id="25"/>
      <w:r>
        <w:t>5.3 Workplace Pool</w:t>
      </w:r>
    </w:p>
    <w:p w14:paraId="5F5C9332" w14:textId="77777777" w:rsidR="00DF30E8" w:rsidRDefault="00000000">
      <w:pPr>
        <w:pStyle w:val="BlockText"/>
      </w:pPr>
      <w:r>
        <w:rPr>
          <w:b/>
          <w:bCs/>
        </w:rPr>
        <w:t>workplacePool = (sum of all WORKPLACE-tagged P&amp;L accounts)</w:t>
      </w:r>
    </w:p>
    <w:p w14:paraId="7D87C1C6" w14:textId="77777777" w:rsidR="00DF30E8" w:rsidRDefault="00000000">
      <w:pPr>
        <w:pStyle w:val="BlockText"/>
      </w:pPr>
      <w:r>
        <w:rPr>
          <w:b/>
          <w:bCs/>
        </w:rPr>
        <w:t>ADJUSTABLE — Design Decision:</w:t>
      </w:r>
      <w:r>
        <w:t xml:space="preserve"> The Workplace pool does NOT include cost center costs — it is fed by P&amp;L accounts only. This differs from SGA and Data pools which include both P&amp;L and cost center costs. If a cost center like GEH (Work Place Well-Being Administration) should feed the Workplace pool instead of SGA, this is a rule change.</w:t>
      </w:r>
    </w:p>
    <w:p w14:paraId="5C21B640" w14:textId="77777777" w:rsidR="00DF30E8" w:rsidRDefault="00000000">
      <w:pPr>
        <w:pStyle w:val="Heading3"/>
      </w:pPr>
      <w:bookmarkStart w:id="27" w:name="nil-exclusion"/>
      <w:bookmarkEnd w:id="26"/>
      <w:r>
        <w:t>5.4 NIL Exclusion</w:t>
      </w:r>
    </w:p>
    <w:p w14:paraId="14598FB1" w14:textId="77777777" w:rsidR="00DF30E8" w:rsidRDefault="00000000">
      <w:pPr>
        <w:pStyle w:val="FirstParagraph"/>
      </w:pPr>
      <w:r>
        <w:t>P&amp;L accounts tagged NIL (Depreciation, Amortization, Interest Expense, Income Tax) are excluded from all three pools entirely. They do not affect any project’s margin. The excluded total is tracked for audit visibility.</w:t>
      </w:r>
    </w:p>
    <w:p w14:paraId="4AEA35FE" w14:textId="421D8AE0" w:rsidR="00DF30E8" w:rsidRDefault="00DF30E8"/>
    <w:p w14:paraId="1E5BC83D" w14:textId="77777777" w:rsidR="00C555C1" w:rsidRDefault="00C555C1">
      <w:pPr>
        <w:rPr>
          <w:rFonts w:asciiTheme="majorHAnsi" w:eastAsiaTheme="majorEastAsia" w:hAnsiTheme="majorHAnsi" w:cstheme="majorBidi"/>
          <w:color w:val="0F4761" w:themeColor="accent1" w:themeShade="BF"/>
          <w:sz w:val="32"/>
          <w:szCs w:val="32"/>
        </w:rPr>
      </w:pPr>
      <w:bookmarkStart w:id="28" w:name="overhead-allocation-rules"/>
      <w:bookmarkEnd w:id="22"/>
      <w:bookmarkEnd w:id="27"/>
      <w:r>
        <w:br w:type="page"/>
      </w:r>
    </w:p>
    <w:p w14:paraId="16263010" w14:textId="278B1971" w:rsidR="00DF30E8" w:rsidRDefault="00000000">
      <w:pPr>
        <w:pStyle w:val="Heading2"/>
      </w:pPr>
      <w:bookmarkStart w:id="29" w:name="_Toc223430067"/>
      <w:r>
        <w:lastRenderedPageBreak/>
        <w:t>6. Overhead Allocation Rules</w:t>
      </w:r>
      <w:bookmarkEnd w:id="29"/>
    </w:p>
    <w:p w14:paraId="520E80AC" w14:textId="77777777" w:rsidR="00DF30E8" w:rsidRDefault="00000000">
      <w:pPr>
        <w:pStyle w:val="FirstParagraph"/>
      </w:pPr>
      <w:r>
        <w:t>Each pool is allocated to revenue centers pro-rata by revenue. The allocation base (which projects receive the allocation) differs by pool type.</w:t>
      </w:r>
    </w:p>
    <w:p w14:paraId="116B1C6E" w14:textId="77777777" w:rsidR="00DF30E8" w:rsidRDefault="00000000">
      <w:pPr>
        <w:pStyle w:val="Heading3"/>
      </w:pPr>
      <w:bookmarkStart w:id="30" w:name="sga-allocation"/>
      <w:r>
        <w:t>6.1 SGA Allocation</w:t>
      </w:r>
    </w:p>
    <w:p w14:paraId="552E688C" w14:textId="77777777" w:rsidR="00DF30E8" w:rsidRDefault="00000000">
      <w:pPr>
        <w:pStyle w:val="FirstParagraph"/>
      </w:pPr>
      <w:r>
        <w:t xml:space="preserve">Spread across </w:t>
      </w:r>
      <w:r>
        <w:rPr>
          <w:b/>
          <w:bCs/>
        </w:rPr>
        <w:t>ALL</w:t>
      </w:r>
      <w:r>
        <w:t xml:space="preserve"> revenue centers proportional to their revenue:</w:t>
      </w:r>
    </w:p>
    <w:p w14:paraId="706DB2BA" w14:textId="77777777" w:rsidR="00DF30E8" w:rsidRDefault="00000000" w:rsidP="00C555C1">
      <w:pPr>
        <w:pStyle w:val="BlockText"/>
        <w:jc w:val="center"/>
      </w:pPr>
      <w:r>
        <w:rPr>
          <w:b/>
          <w:bCs/>
        </w:rPr>
        <w:t>sgaAllocation_i = (revenue_i / totalRevenue) × sgaPool</w:t>
      </w:r>
    </w:p>
    <w:p w14:paraId="3B6E6AAE" w14:textId="77777777" w:rsidR="00DF30E8" w:rsidRDefault="00000000">
      <w:pPr>
        <w:pStyle w:val="FirstParagraph"/>
      </w:pPr>
      <w:r>
        <w:t>Every revenue center receives a share of SGA, regardless of allocation tag.</w:t>
      </w:r>
    </w:p>
    <w:p w14:paraId="15FF5846" w14:textId="77777777" w:rsidR="00DF30E8" w:rsidRDefault="00000000">
      <w:pPr>
        <w:pStyle w:val="Heading3"/>
      </w:pPr>
      <w:bookmarkStart w:id="31" w:name="data-infrastructure-allocation"/>
      <w:bookmarkEnd w:id="30"/>
      <w:r>
        <w:t>6.2 Data Infrastructure Allocation</w:t>
      </w:r>
    </w:p>
    <w:p w14:paraId="7FEA3EB5" w14:textId="77777777" w:rsidR="00DF30E8" w:rsidRDefault="00000000">
      <w:pPr>
        <w:pStyle w:val="FirstParagraph"/>
      </w:pPr>
      <w:r>
        <w:t xml:space="preserve">Spread </w:t>
      </w:r>
      <w:r>
        <w:rPr>
          <w:b/>
          <w:bCs/>
        </w:rPr>
        <w:t>ONLY</w:t>
      </w:r>
      <w:r>
        <w:t xml:space="preserve"> across revenue centers tagged </w:t>
      </w:r>
      <w:r>
        <w:rPr>
          <w:rStyle w:val="VerbatimChar"/>
        </w:rPr>
        <w:t>Data</w:t>
      </w:r>
      <w:r>
        <w:t xml:space="preserve"> in the Pro Forma:</w:t>
      </w:r>
    </w:p>
    <w:p w14:paraId="58749851" w14:textId="77777777" w:rsidR="00DF30E8" w:rsidRDefault="00000000">
      <w:pPr>
        <w:pStyle w:val="BlockText"/>
      </w:pPr>
      <w:r>
        <w:rPr>
          <w:b/>
          <w:bCs/>
        </w:rPr>
        <w:t>dataAllocation_i = (revenue_i / dataTaggedRevenue) × dataPool</w:t>
      </w:r>
      <w:r>
        <w:t xml:space="preserve"> — if tagged “Data”</w:t>
      </w:r>
    </w:p>
    <w:p w14:paraId="0C04514B" w14:textId="77777777" w:rsidR="00DF30E8" w:rsidRDefault="00000000">
      <w:pPr>
        <w:pStyle w:val="BlockText"/>
      </w:pPr>
      <w:r>
        <w:rPr>
          <w:b/>
          <w:bCs/>
        </w:rPr>
        <w:t>dataAllocation_i = 0</w:t>
      </w:r>
      <w:r>
        <w:t xml:space="preserve"> — otherwise</w:t>
      </w:r>
    </w:p>
    <w:p w14:paraId="1CAF5302" w14:textId="77777777" w:rsidR="00DF30E8" w:rsidRDefault="00000000">
      <w:pPr>
        <w:pStyle w:val="Heading3"/>
      </w:pPr>
      <w:bookmarkStart w:id="32" w:name="workplace-well-being-allocation"/>
      <w:bookmarkEnd w:id="31"/>
      <w:r>
        <w:t>6.3 Workplace Well-Being Allocation</w:t>
      </w:r>
    </w:p>
    <w:p w14:paraId="0D104660" w14:textId="77777777" w:rsidR="00DF30E8" w:rsidRDefault="00000000">
      <w:pPr>
        <w:pStyle w:val="FirstParagraph"/>
      </w:pPr>
      <w:r>
        <w:t xml:space="preserve">Spread </w:t>
      </w:r>
      <w:r>
        <w:rPr>
          <w:b/>
          <w:bCs/>
        </w:rPr>
        <w:t>ONLY</w:t>
      </w:r>
      <w:r>
        <w:t xml:space="preserve"> across revenue centers tagged </w:t>
      </w:r>
      <w:r>
        <w:rPr>
          <w:rStyle w:val="VerbatimChar"/>
        </w:rPr>
        <w:t>Wellness</w:t>
      </w:r>
      <w:r>
        <w:t xml:space="preserve"> in the Pro Forma:</w:t>
      </w:r>
    </w:p>
    <w:p w14:paraId="446891C3" w14:textId="77777777" w:rsidR="00DF30E8" w:rsidRDefault="00000000">
      <w:pPr>
        <w:pStyle w:val="BlockText"/>
      </w:pPr>
      <w:r>
        <w:rPr>
          <w:b/>
          <w:bCs/>
        </w:rPr>
        <w:t>workplaceAllocation_i = (revenue_i / wellnessTaggedRevenue) × workplacePool</w:t>
      </w:r>
      <w:r>
        <w:t xml:space="preserve"> — if tagged “Wellness”</w:t>
      </w:r>
    </w:p>
    <w:p w14:paraId="7AACCB37" w14:textId="77777777" w:rsidR="00DF30E8" w:rsidRDefault="00000000">
      <w:pPr>
        <w:pStyle w:val="BlockText"/>
      </w:pPr>
      <w:r>
        <w:rPr>
          <w:b/>
          <w:bCs/>
        </w:rPr>
        <w:t>workplaceAllocation_i = 0</w:t>
      </w:r>
      <w:r>
        <w:t xml:space="preserve"> — otherwise</w:t>
      </w:r>
    </w:p>
    <w:p w14:paraId="51FCF3F7" w14:textId="77777777" w:rsidR="00DF30E8" w:rsidRDefault="00000000">
      <w:pPr>
        <w:pStyle w:val="Heading3"/>
      </w:pPr>
      <w:bookmarkStart w:id="33" w:name="untagged-projects"/>
      <w:bookmarkEnd w:id="32"/>
      <w:r>
        <w:t>6.4 Untagged Projects</w:t>
      </w:r>
    </w:p>
    <w:p w14:paraId="702835A7" w14:textId="77777777" w:rsidR="00DF30E8" w:rsidRDefault="00000000">
      <w:pPr>
        <w:pStyle w:val="BlockText"/>
      </w:pPr>
      <w:r>
        <w:rPr>
          <w:b/>
          <w:bCs/>
        </w:rPr>
        <w:t>ADJUSTABLE — Key Design Decision:</w:t>
      </w:r>
      <w:r>
        <w:t xml:space="preserve"> Revenue centers without a </w:t>
      </w:r>
      <w:r>
        <w:rPr>
          <w:rStyle w:val="VerbatimChar"/>
        </w:rPr>
        <w:t>Data</w:t>
      </w:r>
      <w:r>
        <w:t xml:space="preserve"> or </w:t>
      </w:r>
      <w:r>
        <w:rPr>
          <w:rStyle w:val="VerbatimChar"/>
        </w:rPr>
        <w:t>Wellness</w:t>
      </w:r>
      <w:r>
        <w:t xml:space="preserve"> tag in Column A of the Pro Forma receive SGA allocation only. They do NOT receive Data or Workplace overhead. This means untagged projects show higher margins because they bear less overhead — only their share of SGA.</w:t>
      </w:r>
    </w:p>
    <w:p w14:paraId="519F2939" w14:textId="77777777" w:rsidR="00DF30E8" w:rsidRDefault="00000000">
      <w:pPr>
        <w:pStyle w:val="Heading3"/>
      </w:pPr>
      <w:bookmarkStart w:id="34" w:name="reconciliation"/>
      <w:bookmarkEnd w:id="33"/>
      <w:r>
        <w:t>6.5 Reconciliation</w:t>
      </w:r>
    </w:p>
    <w:p w14:paraId="61FD5C93" w14:textId="77777777" w:rsidR="00DF30E8" w:rsidRDefault="00000000">
      <w:pPr>
        <w:pStyle w:val="FirstParagraph"/>
      </w:pPr>
      <w:r>
        <w:t xml:space="preserve">After allocation, the sum of each allocation column across all revenue centers must equal its pool total within </w:t>
      </w:r>
      <w:r>
        <w:rPr>
          <w:b/>
          <w:bCs/>
        </w:rPr>
        <w:t>$0.01</w:t>
      </w:r>
      <w:r>
        <w:t xml:space="preserve"> tolerance. If it doesn’t reconcile, the pipeline raises a hard error.</w:t>
      </w:r>
    </w:p>
    <w:p w14:paraId="4FD570AF" w14:textId="0C97685B" w:rsidR="00DF30E8" w:rsidRDefault="00DF30E8"/>
    <w:p w14:paraId="7F521FB5" w14:textId="77777777" w:rsidR="00C555C1" w:rsidRDefault="00C555C1">
      <w:pPr>
        <w:rPr>
          <w:rFonts w:asciiTheme="majorHAnsi" w:eastAsiaTheme="majorEastAsia" w:hAnsiTheme="majorHAnsi" w:cstheme="majorBidi"/>
          <w:color w:val="0F4761" w:themeColor="accent1" w:themeShade="BF"/>
          <w:sz w:val="32"/>
          <w:szCs w:val="32"/>
        </w:rPr>
      </w:pPr>
      <w:bookmarkStart w:id="35" w:name="margin-calculation"/>
      <w:bookmarkEnd w:id="28"/>
      <w:bookmarkEnd w:id="34"/>
      <w:r>
        <w:br w:type="page"/>
      </w:r>
    </w:p>
    <w:p w14:paraId="4A50B806" w14:textId="5643BA62" w:rsidR="00DF30E8" w:rsidRDefault="00000000">
      <w:pPr>
        <w:pStyle w:val="Heading2"/>
      </w:pPr>
      <w:bookmarkStart w:id="36" w:name="_Toc223430068"/>
      <w:r>
        <w:lastRenderedPageBreak/>
        <w:t>7. Margin Calculation</w:t>
      </w:r>
      <w:bookmarkEnd w:id="36"/>
    </w:p>
    <w:p w14:paraId="15B09ED7" w14:textId="77777777" w:rsidR="00DF30E8" w:rsidRDefault="00000000">
      <w:pPr>
        <w:pStyle w:val="Heading3"/>
      </w:pPr>
      <w:bookmarkStart w:id="37" w:name="per-project-net-margin"/>
      <w:r>
        <w:t>7.1 Per-Project Net Margin</w:t>
      </w:r>
    </w:p>
    <w:p w14:paraId="33CA5DB8" w14:textId="77777777" w:rsidR="00DF30E8" w:rsidRDefault="00000000" w:rsidP="00C555C1">
      <w:pPr>
        <w:pStyle w:val="BlockText"/>
        <w:jc w:val="center"/>
      </w:pPr>
      <w:r>
        <w:rPr>
          <w:b/>
          <w:bCs/>
        </w:rPr>
        <w:t>marginDollars = revenue − laborCost − expenseCost − sgaAllocation − dataAllocation − workplaceAllocation</w:t>
      </w:r>
    </w:p>
    <w:p w14:paraId="757A3DD9" w14:textId="77777777" w:rsidR="00DF30E8" w:rsidRDefault="00000000" w:rsidP="00C555C1">
      <w:pPr>
        <w:pStyle w:val="BlockText"/>
        <w:jc w:val="center"/>
      </w:pPr>
      <w:r>
        <w:rPr>
          <w:b/>
          <w:bCs/>
        </w:rPr>
        <w:t>marginPercent = (marginDollars / revenue) × 100</w:t>
      </w:r>
    </w:p>
    <w:p w14:paraId="6DA39E26" w14:textId="77777777" w:rsidR="00DF30E8" w:rsidRDefault="00000000">
      <w:pPr>
        <w:pStyle w:val="FirstParagraph"/>
      </w:pPr>
      <w:r>
        <w:t>Projects with $0 revenue get 0% margin (no division by zero).</w:t>
      </w:r>
    </w:p>
    <w:p w14:paraId="38F6FC6F" w14:textId="77777777" w:rsidR="00DF30E8" w:rsidRDefault="00000000">
      <w:pPr>
        <w:pStyle w:val="Heading3"/>
      </w:pPr>
      <w:bookmarkStart w:id="38" w:name="overall-firm-margin"/>
      <w:bookmarkEnd w:id="37"/>
      <w:r>
        <w:t>7.2 Overall Firm Margin</w:t>
      </w:r>
    </w:p>
    <w:p w14:paraId="763F0610" w14:textId="77777777" w:rsidR="00DF30E8" w:rsidRDefault="00000000" w:rsidP="00C555C1">
      <w:pPr>
        <w:pStyle w:val="BlockText"/>
        <w:jc w:val="center"/>
      </w:pPr>
      <w:r>
        <w:rPr>
          <w:b/>
          <w:bCs/>
        </w:rPr>
        <w:t>overallMarginPercent = (Σ marginDollars / Σ revenue) × 100</w:t>
      </w:r>
    </w:p>
    <w:p w14:paraId="6AD8888C" w14:textId="77777777" w:rsidR="00DF30E8" w:rsidRDefault="00000000">
      <w:pPr>
        <w:pStyle w:val="FirstParagraph"/>
      </w:pPr>
      <w:r>
        <w:t>This is the blended margin across all revenue centers for the month.</w:t>
      </w:r>
    </w:p>
    <w:p w14:paraId="0FFB62EA" w14:textId="43BA1EFD" w:rsidR="00DF30E8" w:rsidRDefault="00DF30E8"/>
    <w:p w14:paraId="1225805D" w14:textId="77777777" w:rsidR="00C555C1" w:rsidRDefault="00C555C1">
      <w:pPr>
        <w:rPr>
          <w:rFonts w:asciiTheme="majorHAnsi" w:eastAsiaTheme="majorEastAsia" w:hAnsiTheme="majorHAnsi" w:cstheme="majorBidi"/>
          <w:color w:val="0F4761" w:themeColor="accent1" w:themeShade="BF"/>
          <w:sz w:val="32"/>
          <w:szCs w:val="32"/>
        </w:rPr>
      </w:pPr>
      <w:bookmarkStart w:id="39" w:name="validation-checks"/>
      <w:bookmarkEnd w:id="35"/>
      <w:bookmarkEnd w:id="38"/>
      <w:r>
        <w:br w:type="page"/>
      </w:r>
    </w:p>
    <w:p w14:paraId="3A0E6ED2" w14:textId="60C21ED3" w:rsidR="00DF30E8" w:rsidRDefault="00000000">
      <w:pPr>
        <w:pStyle w:val="Heading2"/>
      </w:pPr>
      <w:bookmarkStart w:id="40" w:name="_Toc223430069"/>
      <w:r>
        <w:lastRenderedPageBreak/>
        <w:t>8. Validation Checks</w:t>
      </w:r>
      <w:bookmarkEnd w:id="40"/>
    </w:p>
    <w:p w14:paraId="56BE3086" w14:textId="77777777" w:rsidR="00DF30E8" w:rsidRDefault="00000000">
      <w:pPr>
        <w:pStyle w:val="FirstParagraph"/>
      </w:pPr>
      <w:r>
        <w:t>The pipeline runs 5 categories of automated validation after computing all results. Each check produces a PASS, WARN, or FAIL result.</w:t>
      </w:r>
    </w:p>
    <w:p w14:paraId="59587466" w14:textId="77777777" w:rsidR="00DF30E8" w:rsidRDefault="00000000">
      <w:pPr>
        <w:pStyle w:val="Heading3"/>
      </w:pPr>
      <w:bookmarkStart w:id="41" w:name="data-completeness"/>
      <w:r>
        <w:t>8.1 Data Completeness</w:t>
      </w:r>
    </w:p>
    <w:p w14:paraId="3176403A" w14:textId="77777777" w:rsidR="00DF30E8" w:rsidRDefault="00000000">
      <w:pPr>
        <w:pStyle w:val="Compact"/>
        <w:numPr>
          <w:ilvl w:val="0"/>
          <w:numId w:val="9"/>
        </w:numPr>
      </w:pPr>
      <w:r>
        <w:rPr>
          <w:b/>
          <w:bCs/>
        </w:rPr>
        <w:t>FAIL</w:t>
      </w:r>
      <w:r>
        <w:t xml:space="preserve"> — No revenue centers found</w:t>
      </w:r>
    </w:p>
    <w:p w14:paraId="208ABC60" w14:textId="77777777" w:rsidR="00DF30E8" w:rsidRDefault="00000000">
      <w:pPr>
        <w:pStyle w:val="Compact"/>
        <w:numPr>
          <w:ilvl w:val="0"/>
          <w:numId w:val="9"/>
        </w:numPr>
      </w:pPr>
      <w:r>
        <w:rPr>
          <w:b/>
          <w:bCs/>
        </w:rPr>
        <w:t>FAIL</w:t>
      </w:r>
      <w:r>
        <w:t xml:space="preserve"> — Compensation data is empty</w:t>
      </w:r>
    </w:p>
    <w:p w14:paraId="05697769" w14:textId="77777777" w:rsidR="00DF30E8" w:rsidRDefault="00000000">
      <w:pPr>
        <w:pStyle w:val="Compact"/>
        <w:numPr>
          <w:ilvl w:val="0"/>
          <w:numId w:val="9"/>
        </w:numPr>
      </w:pPr>
      <w:r>
        <w:rPr>
          <w:b/>
          <w:bCs/>
        </w:rPr>
        <w:t>WARN</w:t>
      </w:r>
      <w:r>
        <w:t xml:space="preserve"> — Harvest Hours is empty</w:t>
      </w:r>
    </w:p>
    <w:p w14:paraId="3A16A407" w14:textId="77777777" w:rsidR="00DF30E8" w:rsidRDefault="00000000">
      <w:pPr>
        <w:pStyle w:val="Compact"/>
        <w:numPr>
          <w:ilvl w:val="0"/>
          <w:numId w:val="9"/>
        </w:numPr>
      </w:pPr>
      <w:r>
        <w:rPr>
          <w:b/>
          <w:bCs/>
        </w:rPr>
        <w:t>WARN</w:t>
      </w:r>
      <w:r>
        <w:t xml:space="preserve"> — Harvest Expenses is empty</w:t>
      </w:r>
    </w:p>
    <w:p w14:paraId="119F72D1" w14:textId="77777777" w:rsidR="00DF30E8" w:rsidRDefault="00000000">
      <w:pPr>
        <w:pStyle w:val="Heading3"/>
      </w:pPr>
      <w:bookmarkStart w:id="42" w:name="key-integrity"/>
      <w:bookmarkEnd w:id="41"/>
      <w:r>
        <w:t>8.2 Key Integrity</w:t>
      </w:r>
    </w:p>
    <w:p w14:paraId="2D048056" w14:textId="77777777" w:rsidR="00DF30E8" w:rsidRDefault="00000000">
      <w:pPr>
        <w:pStyle w:val="Compact"/>
        <w:numPr>
          <w:ilvl w:val="0"/>
          <w:numId w:val="10"/>
        </w:numPr>
      </w:pPr>
      <w:r>
        <w:rPr>
          <w:b/>
          <w:bCs/>
        </w:rPr>
        <w:t>FAIL</w:t>
      </w:r>
      <w:r>
        <w:t xml:space="preserve"> — Duplicate Last Names in Compensation file</w:t>
      </w:r>
    </w:p>
    <w:p w14:paraId="20BC36DD" w14:textId="77777777" w:rsidR="00DF30E8" w:rsidRDefault="00000000">
      <w:pPr>
        <w:pStyle w:val="Compact"/>
        <w:numPr>
          <w:ilvl w:val="0"/>
          <w:numId w:val="10"/>
        </w:numPr>
      </w:pPr>
      <w:r>
        <w:rPr>
          <w:b/>
          <w:bCs/>
        </w:rPr>
        <w:t>WARN</w:t>
      </w:r>
      <w:r>
        <w:t xml:space="preserve"> — Staff in Harvest Hours missing from Compensation</w:t>
      </w:r>
    </w:p>
    <w:p w14:paraId="6F918B08" w14:textId="77777777" w:rsidR="00DF30E8" w:rsidRDefault="00000000">
      <w:pPr>
        <w:pStyle w:val="Compact"/>
        <w:numPr>
          <w:ilvl w:val="0"/>
          <w:numId w:val="10"/>
        </w:numPr>
      </w:pPr>
      <w:r>
        <w:rPr>
          <w:b/>
          <w:bCs/>
        </w:rPr>
        <w:t>FAIL</w:t>
      </w:r>
      <w:r>
        <w:t xml:space="preserve"> — Contract code appears as both Revenue Center and Cost Center</w:t>
      </w:r>
    </w:p>
    <w:p w14:paraId="3D8FAE70" w14:textId="77777777" w:rsidR="00DF30E8" w:rsidRDefault="00000000">
      <w:pPr>
        <w:pStyle w:val="Heading3"/>
      </w:pPr>
      <w:bookmarkStart w:id="43" w:name="pool-reasonableness"/>
      <w:bookmarkEnd w:id="42"/>
      <w:r>
        <w:t>8.3 Pool Reasonableness</w:t>
      </w:r>
    </w:p>
    <w:p w14:paraId="4C23D42E" w14:textId="77777777" w:rsidR="00DF30E8" w:rsidRDefault="00000000">
      <w:pPr>
        <w:pStyle w:val="Compact"/>
        <w:numPr>
          <w:ilvl w:val="0"/>
          <w:numId w:val="11"/>
        </w:numPr>
      </w:pPr>
      <w:r>
        <w:rPr>
          <w:b/>
          <w:bCs/>
        </w:rPr>
        <w:t>FAIL</w:t>
      </w:r>
      <w:r>
        <w:t xml:space="preserve"> — SGA pool exceeds 2× total revenue (likely P&amp;L extraction error — income or subtotal lines included)</w:t>
      </w:r>
    </w:p>
    <w:p w14:paraId="158FCC38" w14:textId="77777777" w:rsidR="00DF30E8" w:rsidRDefault="00000000">
      <w:pPr>
        <w:pStyle w:val="Compact"/>
        <w:numPr>
          <w:ilvl w:val="0"/>
          <w:numId w:val="11"/>
        </w:numPr>
      </w:pPr>
      <w:r>
        <w:rPr>
          <w:b/>
          <w:bCs/>
        </w:rPr>
        <w:t>WARN</w:t>
      </w:r>
      <w:r>
        <w:t xml:space="preserve"> — SGA pool exceeds 1× total revenue (verify this is expected)</w:t>
      </w:r>
    </w:p>
    <w:p w14:paraId="489A3C36" w14:textId="77777777" w:rsidR="00DF30E8" w:rsidRDefault="00000000">
      <w:pPr>
        <w:pStyle w:val="BlockText"/>
      </w:pPr>
      <w:r>
        <w:rPr>
          <w:b/>
          <w:bCs/>
        </w:rPr>
        <w:t>ADJUSTABLE:</w:t>
      </w:r>
      <w:r>
        <w:t xml:space="preserve"> The 2× (fail) and 1× (warn) thresholds for SGA-to-revenue ratio are hardcoded. These can be adjusted if the firm’s overhead structure normally exceeds these bounds.</w:t>
      </w:r>
    </w:p>
    <w:p w14:paraId="6004C27A" w14:textId="77777777" w:rsidR="00DF30E8" w:rsidRDefault="00000000">
      <w:pPr>
        <w:pStyle w:val="Heading3"/>
      </w:pPr>
      <w:bookmarkStart w:id="44" w:name="mathematical-reconciliation"/>
      <w:bookmarkEnd w:id="43"/>
      <w:r>
        <w:t>8.4 Mathematical Reconciliation</w:t>
      </w:r>
    </w:p>
    <w:p w14:paraId="31A59A83" w14:textId="77777777" w:rsidR="00DF30E8" w:rsidRDefault="00000000">
      <w:pPr>
        <w:pStyle w:val="Compact"/>
        <w:numPr>
          <w:ilvl w:val="0"/>
          <w:numId w:val="12"/>
        </w:numPr>
      </w:pPr>
      <w:r>
        <w:rPr>
          <w:b/>
          <w:bCs/>
        </w:rPr>
        <w:t>FAIL</w:t>
      </w:r>
      <w:r>
        <w:t xml:space="preserve"> — Revenue center sum doesn’t match Pro Forma total (tolerance: $0.01)</w:t>
      </w:r>
    </w:p>
    <w:p w14:paraId="3925656A" w14:textId="77777777" w:rsidR="00DF30E8" w:rsidRDefault="00000000">
      <w:pPr>
        <w:pStyle w:val="Compact"/>
        <w:numPr>
          <w:ilvl w:val="0"/>
          <w:numId w:val="12"/>
        </w:numPr>
      </w:pPr>
      <w:r>
        <w:rPr>
          <w:b/>
          <w:bCs/>
        </w:rPr>
        <w:t>FAIL</w:t>
      </w:r>
      <w:r>
        <w:t xml:space="preserve"> — SGA allocation column doesn’t sum to SGA pool (tolerance: $0.01)</w:t>
      </w:r>
    </w:p>
    <w:p w14:paraId="6AB05478" w14:textId="77777777" w:rsidR="00DF30E8" w:rsidRDefault="00000000">
      <w:pPr>
        <w:pStyle w:val="Compact"/>
        <w:numPr>
          <w:ilvl w:val="0"/>
          <w:numId w:val="12"/>
        </w:numPr>
      </w:pPr>
      <w:r>
        <w:rPr>
          <w:b/>
          <w:bCs/>
        </w:rPr>
        <w:t>FAIL</w:t>
      </w:r>
      <w:r>
        <w:t xml:space="preserve"> — Data allocation column doesn’t sum to Data pool (tolerance: $0.01)</w:t>
      </w:r>
    </w:p>
    <w:p w14:paraId="09A56BF2" w14:textId="77777777" w:rsidR="00DF30E8" w:rsidRDefault="00000000">
      <w:pPr>
        <w:pStyle w:val="Compact"/>
        <w:numPr>
          <w:ilvl w:val="0"/>
          <w:numId w:val="12"/>
        </w:numPr>
      </w:pPr>
      <w:r>
        <w:rPr>
          <w:b/>
          <w:bCs/>
        </w:rPr>
        <w:t>FAIL</w:t>
      </w:r>
      <w:r>
        <w:t xml:space="preserve"> — Workplace allocation column doesn’t sum to Workplace pool (tolerance: $0.01)</w:t>
      </w:r>
    </w:p>
    <w:p w14:paraId="2A2AC90E" w14:textId="77777777" w:rsidR="00DF30E8" w:rsidRDefault="00000000">
      <w:pPr>
        <w:pStyle w:val="Heading3"/>
      </w:pPr>
      <w:bookmarkStart w:id="45" w:name="reasonableness-warnings"/>
      <w:bookmarkEnd w:id="44"/>
      <w:r>
        <w:t>8.5 Reasonableness Warnings</w:t>
      </w:r>
    </w:p>
    <w:p w14:paraId="466FE305" w14:textId="77777777" w:rsidR="00DF30E8" w:rsidRDefault="00000000">
      <w:pPr>
        <w:pStyle w:val="Compact"/>
        <w:numPr>
          <w:ilvl w:val="0"/>
          <w:numId w:val="13"/>
        </w:numPr>
      </w:pPr>
      <w:r>
        <w:rPr>
          <w:b/>
          <w:bCs/>
        </w:rPr>
        <w:t>WARN</w:t>
      </w:r>
      <w:r>
        <w:t xml:space="preserve"> — Revenue centers with revenue booked but zero hours logged</w:t>
      </w:r>
    </w:p>
    <w:p w14:paraId="4D6514DA" w14:textId="77777777" w:rsidR="00DF30E8" w:rsidRDefault="00000000">
      <w:pPr>
        <w:pStyle w:val="Compact"/>
        <w:numPr>
          <w:ilvl w:val="0"/>
          <w:numId w:val="13"/>
        </w:numPr>
      </w:pPr>
      <w:r>
        <w:rPr>
          <w:b/>
          <w:bCs/>
        </w:rPr>
        <w:t>WARN</w:t>
      </w:r>
      <w:r>
        <w:t xml:space="preserve"> — Contract codes with hours logged but not classified as Revenue or Cost Center (non-revenue clients)</w:t>
      </w:r>
    </w:p>
    <w:p w14:paraId="39DDC776" w14:textId="77777777" w:rsidR="00DF30E8" w:rsidRDefault="00000000">
      <w:pPr>
        <w:pStyle w:val="Compact"/>
        <w:numPr>
          <w:ilvl w:val="0"/>
          <w:numId w:val="13"/>
        </w:numPr>
      </w:pPr>
      <w:r>
        <w:rPr>
          <w:b/>
          <w:bCs/>
        </w:rPr>
        <w:t>WARN</w:t>
      </w:r>
      <w:r>
        <w:t xml:space="preserve"> — P&amp;L accounts that defaulted to SGA because they didn’t match any tagging keyword</w:t>
      </w:r>
    </w:p>
    <w:p w14:paraId="0C39D2A9" w14:textId="74439BEF" w:rsidR="00DF30E8" w:rsidRDefault="00DF30E8"/>
    <w:p w14:paraId="45A8C317" w14:textId="77777777" w:rsidR="00C555C1" w:rsidRDefault="00C555C1">
      <w:pPr>
        <w:rPr>
          <w:rFonts w:asciiTheme="majorHAnsi" w:eastAsiaTheme="majorEastAsia" w:hAnsiTheme="majorHAnsi" w:cstheme="majorBidi"/>
          <w:color w:val="0F4761" w:themeColor="accent1" w:themeShade="BF"/>
          <w:sz w:val="32"/>
          <w:szCs w:val="32"/>
        </w:rPr>
      </w:pPr>
      <w:bookmarkStart w:id="46" w:name="summary-of-adjustable-values"/>
      <w:bookmarkEnd w:id="39"/>
      <w:bookmarkEnd w:id="45"/>
      <w:r>
        <w:br w:type="page"/>
      </w:r>
    </w:p>
    <w:p w14:paraId="21535A3D" w14:textId="2ED53D98" w:rsidR="00DF30E8" w:rsidRDefault="00000000">
      <w:pPr>
        <w:pStyle w:val="Heading2"/>
      </w:pPr>
      <w:bookmarkStart w:id="47" w:name="_Toc223430070"/>
      <w:r>
        <w:lastRenderedPageBreak/>
        <w:t>Summary of Adjustable Values</w:t>
      </w:r>
      <w:bookmarkEnd w:id="47"/>
    </w:p>
    <w:tbl>
      <w:tblPr>
        <w:tblStyle w:val="Table"/>
        <w:tblW w:w="5000" w:type="pct"/>
        <w:tblLayout w:type="fixed"/>
        <w:tblLook w:val="0020" w:firstRow="1" w:lastRow="0" w:firstColumn="0" w:lastColumn="0" w:noHBand="0" w:noVBand="0"/>
      </w:tblPr>
      <w:tblGrid>
        <w:gridCol w:w="3708"/>
        <w:gridCol w:w="2676"/>
        <w:gridCol w:w="3192"/>
      </w:tblGrid>
      <w:tr w:rsidR="00DF30E8" w14:paraId="0ACC36E2" w14:textId="77777777" w:rsidTr="00C555C1">
        <w:trPr>
          <w:cnfStyle w:val="100000000000" w:firstRow="1" w:lastRow="0" w:firstColumn="0" w:lastColumn="0" w:oddVBand="0" w:evenVBand="0" w:oddHBand="0" w:evenHBand="0" w:firstRowFirstColumn="0" w:firstRowLastColumn="0" w:lastRowFirstColumn="0" w:lastRowLastColumn="0"/>
          <w:tblHeader/>
        </w:trPr>
        <w:tc>
          <w:tcPr>
            <w:tcW w:w="3708" w:type="dxa"/>
          </w:tcPr>
          <w:p w14:paraId="15B99C85" w14:textId="77777777" w:rsidR="00DF30E8" w:rsidRDefault="00000000">
            <w:pPr>
              <w:pStyle w:val="Compact"/>
            </w:pPr>
            <w:r>
              <w:t>Value</w:t>
            </w:r>
          </w:p>
        </w:tc>
        <w:tc>
          <w:tcPr>
            <w:tcW w:w="2676" w:type="dxa"/>
          </w:tcPr>
          <w:p w14:paraId="0CB6634D" w14:textId="77777777" w:rsidR="00DF30E8" w:rsidRDefault="00000000">
            <w:pPr>
              <w:pStyle w:val="Compact"/>
            </w:pPr>
            <w:r>
              <w:t>Current Setting</w:t>
            </w:r>
          </w:p>
        </w:tc>
        <w:tc>
          <w:tcPr>
            <w:tcW w:w="3192" w:type="dxa"/>
          </w:tcPr>
          <w:p w14:paraId="4C0C314D" w14:textId="77777777" w:rsidR="00DF30E8" w:rsidRDefault="00000000">
            <w:pPr>
              <w:pStyle w:val="Compact"/>
            </w:pPr>
            <w:r>
              <w:t>Impact</w:t>
            </w:r>
          </w:p>
        </w:tc>
      </w:tr>
      <w:tr w:rsidR="00DF30E8" w14:paraId="338FFD7A" w14:textId="77777777" w:rsidTr="00C555C1">
        <w:tc>
          <w:tcPr>
            <w:tcW w:w="3708" w:type="dxa"/>
          </w:tcPr>
          <w:p w14:paraId="576242C2" w14:textId="77777777" w:rsidR="00DF30E8" w:rsidRDefault="00000000">
            <w:pPr>
              <w:pStyle w:val="Compact"/>
            </w:pPr>
            <w:r>
              <w:t>Hours per month</w:t>
            </w:r>
          </w:p>
        </w:tc>
        <w:tc>
          <w:tcPr>
            <w:tcW w:w="2676" w:type="dxa"/>
          </w:tcPr>
          <w:p w14:paraId="6FA7F154" w14:textId="77777777" w:rsidR="00DF30E8" w:rsidRDefault="00000000" w:rsidP="00C555C1">
            <w:pPr>
              <w:pStyle w:val="Compact"/>
              <w:jc w:val="center"/>
            </w:pPr>
            <w:r>
              <w:t>216.6667</w:t>
            </w:r>
          </w:p>
        </w:tc>
        <w:tc>
          <w:tcPr>
            <w:tcW w:w="3192" w:type="dxa"/>
          </w:tcPr>
          <w:p w14:paraId="18E21017" w14:textId="77777777" w:rsidR="00DF30E8" w:rsidRDefault="00000000">
            <w:pPr>
              <w:pStyle w:val="Compact"/>
            </w:pPr>
            <w:r>
              <w:t>Comp Strategy B hourly rate conversion</w:t>
            </w:r>
          </w:p>
        </w:tc>
      </w:tr>
      <w:tr w:rsidR="00DF30E8" w14:paraId="65FA843A" w14:textId="77777777" w:rsidTr="00C555C1">
        <w:tc>
          <w:tcPr>
            <w:tcW w:w="3708" w:type="dxa"/>
          </w:tcPr>
          <w:p w14:paraId="35FBF0DC" w14:textId="77777777" w:rsidR="00DF30E8" w:rsidRDefault="00000000">
            <w:pPr>
              <w:pStyle w:val="Compact"/>
            </w:pPr>
            <w:r>
              <w:t>Reconciliation tolerance</w:t>
            </w:r>
          </w:p>
        </w:tc>
        <w:tc>
          <w:tcPr>
            <w:tcW w:w="2676" w:type="dxa"/>
          </w:tcPr>
          <w:p w14:paraId="1D5402F6" w14:textId="77777777" w:rsidR="00DF30E8" w:rsidRDefault="00000000" w:rsidP="00C555C1">
            <w:pPr>
              <w:pStyle w:val="Compact"/>
              <w:jc w:val="center"/>
            </w:pPr>
            <w:r>
              <w:t>$0.01</w:t>
            </w:r>
          </w:p>
        </w:tc>
        <w:tc>
          <w:tcPr>
            <w:tcW w:w="3192" w:type="dxa"/>
          </w:tcPr>
          <w:p w14:paraId="3B026571" w14:textId="77777777" w:rsidR="00DF30E8" w:rsidRDefault="00000000">
            <w:pPr>
              <w:pStyle w:val="Compact"/>
            </w:pPr>
            <w:r>
              <w:t>Pool allocation reconciliation checks</w:t>
            </w:r>
          </w:p>
        </w:tc>
      </w:tr>
      <w:tr w:rsidR="00DF30E8" w14:paraId="4A10A6C2" w14:textId="77777777" w:rsidTr="00C555C1">
        <w:tc>
          <w:tcPr>
            <w:tcW w:w="3708" w:type="dxa"/>
          </w:tcPr>
          <w:p w14:paraId="56AF9FA7" w14:textId="77777777" w:rsidR="00DF30E8" w:rsidRDefault="00000000">
            <w:pPr>
              <w:pStyle w:val="Compact"/>
            </w:pPr>
            <w:r>
              <w:t>SGA fail threshold</w:t>
            </w:r>
          </w:p>
        </w:tc>
        <w:tc>
          <w:tcPr>
            <w:tcW w:w="2676" w:type="dxa"/>
          </w:tcPr>
          <w:p w14:paraId="2A8CA9CD" w14:textId="77777777" w:rsidR="00DF30E8" w:rsidRDefault="00000000" w:rsidP="00C555C1">
            <w:pPr>
              <w:pStyle w:val="Compact"/>
              <w:jc w:val="center"/>
            </w:pPr>
            <w:r>
              <w:t>2× revenue</w:t>
            </w:r>
          </w:p>
        </w:tc>
        <w:tc>
          <w:tcPr>
            <w:tcW w:w="3192" w:type="dxa"/>
          </w:tcPr>
          <w:p w14:paraId="715AF908" w14:textId="77777777" w:rsidR="00DF30E8" w:rsidRDefault="00000000">
            <w:pPr>
              <w:pStyle w:val="Compact"/>
            </w:pPr>
            <w:r>
              <w:t>Pool reasonableness FAIL trigger</w:t>
            </w:r>
          </w:p>
        </w:tc>
      </w:tr>
      <w:tr w:rsidR="00DF30E8" w14:paraId="090DFD1F" w14:textId="77777777" w:rsidTr="00C555C1">
        <w:tc>
          <w:tcPr>
            <w:tcW w:w="3708" w:type="dxa"/>
          </w:tcPr>
          <w:p w14:paraId="7BDA4E3E" w14:textId="77777777" w:rsidR="00DF30E8" w:rsidRDefault="00000000">
            <w:pPr>
              <w:pStyle w:val="Compact"/>
            </w:pPr>
            <w:r>
              <w:t>SGA warn threshold</w:t>
            </w:r>
          </w:p>
        </w:tc>
        <w:tc>
          <w:tcPr>
            <w:tcW w:w="2676" w:type="dxa"/>
          </w:tcPr>
          <w:p w14:paraId="00F8A4B3" w14:textId="77777777" w:rsidR="00DF30E8" w:rsidRDefault="00000000" w:rsidP="00C555C1">
            <w:pPr>
              <w:pStyle w:val="Compact"/>
              <w:jc w:val="center"/>
            </w:pPr>
            <w:r>
              <w:t>1× revenue</w:t>
            </w:r>
          </w:p>
        </w:tc>
        <w:tc>
          <w:tcPr>
            <w:tcW w:w="3192" w:type="dxa"/>
          </w:tcPr>
          <w:p w14:paraId="5DD32A63" w14:textId="77777777" w:rsidR="00DF30E8" w:rsidRDefault="00000000">
            <w:pPr>
              <w:pStyle w:val="Compact"/>
            </w:pPr>
            <w:r>
              <w:t>Pool reasonableness WARN trigger</w:t>
            </w:r>
          </w:p>
        </w:tc>
      </w:tr>
      <w:tr w:rsidR="00DF30E8" w14:paraId="733E717D" w14:textId="77777777" w:rsidTr="00C555C1">
        <w:tc>
          <w:tcPr>
            <w:tcW w:w="3708" w:type="dxa"/>
          </w:tcPr>
          <w:p w14:paraId="78B45571" w14:textId="77777777" w:rsidR="00DF30E8" w:rsidRDefault="00000000">
            <w:pPr>
              <w:pStyle w:val="Compact"/>
            </w:pPr>
            <w:r>
              <w:t>Pro Forma sheet name</w:t>
            </w:r>
          </w:p>
        </w:tc>
        <w:tc>
          <w:tcPr>
            <w:tcW w:w="2676" w:type="dxa"/>
          </w:tcPr>
          <w:p w14:paraId="393EBF52" w14:textId="77777777" w:rsidR="00DF30E8" w:rsidRDefault="00000000" w:rsidP="00C555C1">
            <w:pPr>
              <w:pStyle w:val="Compact"/>
              <w:jc w:val="center"/>
            </w:pPr>
            <w:r>
              <w:t>PRO FORMA 2025</w:t>
            </w:r>
          </w:p>
        </w:tc>
        <w:tc>
          <w:tcPr>
            <w:tcW w:w="3192" w:type="dxa"/>
          </w:tcPr>
          <w:p w14:paraId="373E7C97" w14:textId="77777777" w:rsidR="00DF30E8" w:rsidRDefault="00000000">
            <w:pPr>
              <w:pStyle w:val="Compact"/>
            </w:pPr>
            <w:r>
              <w:t>Which sheet to parse for revenue</w:t>
            </w:r>
          </w:p>
        </w:tc>
      </w:tr>
      <w:tr w:rsidR="00DF30E8" w14:paraId="584A387B" w14:textId="77777777" w:rsidTr="00C555C1">
        <w:tc>
          <w:tcPr>
            <w:tcW w:w="3708" w:type="dxa"/>
          </w:tcPr>
          <w:p w14:paraId="3D94B0F0" w14:textId="77777777" w:rsidR="00DF30E8" w:rsidRDefault="00000000">
            <w:pPr>
              <w:pStyle w:val="Compact"/>
            </w:pPr>
            <w:r>
              <w:t>P&amp;L sheet name</w:t>
            </w:r>
          </w:p>
        </w:tc>
        <w:tc>
          <w:tcPr>
            <w:tcW w:w="2676" w:type="dxa"/>
          </w:tcPr>
          <w:p w14:paraId="0C54A9A7" w14:textId="77777777" w:rsidR="00DF30E8" w:rsidRDefault="00000000" w:rsidP="00C555C1">
            <w:pPr>
              <w:pStyle w:val="Compact"/>
              <w:jc w:val="center"/>
            </w:pPr>
            <w:r>
              <w:t>IncomeStatement</w:t>
            </w:r>
          </w:p>
        </w:tc>
        <w:tc>
          <w:tcPr>
            <w:tcW w:w="3192" w:type="dxa"/>
          </w:tcPr>
          <w:p w14:paraId="26FD2391" w14:textId="77777777" w:rsidR="00DF30E8" w:rsidRDefault="00000000">
            <w:pPr>
              <w:pStyle w:val="Compact"/>
            </w:pPr>
            <w:r>
              <w:t>Which sheet to parse for overhead accounts</w:t>
            </w:r>
          </w:p>
        </w:tc>
      </w:tr>
      <w:tr w:rsidR="00DF30E8" w14:paraId="184861BE" w14:textId="77777777" w:rsidTr="00C555C1">
        <w:tc>
          <w:tcPr>
            <w:tcW w:w="3708" w:type="dxa"/>
          </w:tcPr>
          <w:p w14:paraId="3265B97A" w14:textId="77777777" w:rsidR="00DF30E8" w:rsidRDefault="00000000">
            <w:pPr>
              <w:pStyle w:val="Compact"/>
            </w:pPr>
            <w:r>
              <w:t>Cost center list</w:t>
            </w:r>
          </w:p>
        </w:tc>
        <w:tc>
          <w:tcPr>
            <w:tcW w:w="2676" w:type="dxa"/>
          </w:tcPr>
          <w:p w14:paraId="03893B4A" w14:textId="77777777" w:rsidR="00DF30E8" w:rsidRDefault="00000000" w:rsidP="00C555C1">
            <w:pPr>
              <w:pStyle w:val="Compact"/>
              <w:jc w:val="center"/>
            </w:pPr>
            <w:r>
              <w:t>14 codes</w:t>
            </w:r>
          </w:p>
        </w:tc>
        <w:tc>
          <w:tcPr>
            <w:tcW w:w="3192" w:type="dxa"/>
          </w:tcPr>
          <w:p w14:paraId="42B441AD" w14:textId="77777777" w:rsidR="00DF30E8" w:rsidRDefault="00000000">
            <w:pPr>
              <w:pStyle w:val="Compact"/>
            </w:pPr>
            <w:r>
              <w:t>Which projects are overhead vs. revenue</w:t>
            </w:r>
          </w:p>
        </w:tc>
      </w:tr>
      <w:tr w:rsidR="00DF30E8" w14:paraId="3533A1CB" w14:textId="77777777" w:rsidTr="00C555C1">
        <w:tc>
          <w:tcPr>
            <w:tcW w:w="3708" w:type="dxa"/>
          </w:tcPr>
          <w:p w14:paraId="2BDA6BF9" w14:textId="77777777" w:rsidR="00DF30E8" w:rsidRDefault="00000000">
            <w:pPr>
              <w:pStyle w:val="Compact"/>
            </w:pPr>
            <w:r>
              <w:t>P&amp;L tagging keywords</w:t>
            </w:r>
          </w:p>
        </w:tc>
        <w:tc>
          <w:tcPr>
            <w:tcW w:w="2676" w:type="dxa"/>
          </w:tcPr>
          <w:p w14:paraId="756D00E7" w14:textId="77777777" w:rsidR="00DF30E8" w:rsidRDefault="00000000" w:rsidP="00C555C1">
            <w:pPr>
              <w:pStyle w:val="Compact"/>
              <w:jc w:val="center"/>
            </w:pPr>
            <w:r>
              <w:t>8 DATA, 6 WORKPLACE, 4 NIL</w:t>
            </w:r>
          </w:p>
        </w:tc>
        <w:tc>
          <w:tcPr>
            <w:tcW w:w="3192" w:type="dxa"/>
          </w:tcPr>
          <w:p w14:paraId="71C888C3" w14:textId="77777777" w:rsidR="00DF30E8" w:rsidRDefault="00000000">
            <w:pPr>
              <w:pStyle w:val="Compact"/>
            </w:pPr>
            <w:r>
              <w:t>How P&amp;L accounts are sorted into pools</w:t>
            </w:r>
          </w:p>
        </w:tc>
      </w:tr>
      <w:tr w:rsidR="00DF30E8" w14:paraId="49BAEF92" w14:textId="77777777" w:rsidTr="00C555C1">
        <w:tc>
          <w:tcPr>
            <w:tcW w:w="3708" w:type="dxa"/>
          </w:tcPr>
          <w:p w14:paraId="18D2B374" w14:textId="77777777" w:rsidR="00DF30E8" w:rsidRDefault="00000000">
            <w:pPr>
              <w:pStyle w:val="Compact"/>
            </w:pPr>
            <w:r>
              <w:t>Category mapping</w:t>
            </w:r>
          </w:p>
        </w:tc>
        <w:tc>
          <w:tcPr>
            <w:tcW w:w="2676" w:type="dxa"/>
          </w:tcPr>
          <w:p w14:paraId="663B2049" w14:textId="77777777" w:rsidR="00DF30E8" w:rsidRDefault="00000000" w:rsidP="00C555C1">
            <w:pPr>
              <w:pStyle w:val="Compact"/>
              <w:jc w:val="center"/>
            </w:pPr>
            <w:r>
              <w:t>5 sections → categories</w:t>
            </w:r>
          </w:p>
        </w:tc>
        <w:tc>
          <w:tcPr>
            <w:tcW w:w="3192" w:type="dxa"/>
          </w:tcPr>
          <w:p w14:paraId="055284BD" w14:textId="77777777" w:rsidR="00DF30E8" w:rsidRDefault="00000000">
            <w:pPr>
              <w:pStyle w:val="Compact"/>
            </w:pPr>
            <w:r>
              <w:t>Project grouping in results view</w:t>
            </w:r>
          </w:p>
        </w:tc>
      </w:tr>
      <w:tr w:rsidR="00DF30E8" w14:paraId="03E7FB3F" w14:textId="77777777" w:rsidTr="00C555C1">
        <w:tc>
          <w:tcPr>
            <w:tcW w:w="3708" w:type="dxa"/>
          </w:tcPr>
          <w:p w14:paraId="238594A0" w14:textId="77777777" w:rsidR="00DF30E8" w:rsidRDefault="00000000">
            <w:pPr>
              <w:pStyle w:val="Compact"/>
            </w:pPr>
            <w:r>
              <w:t>Allocation tags</w:t>
            </w:r>
          </w:p>
        </w:tc>
        <w:tc>
          <w:tcPr>
            <w:tcW w:w="2676" w:type="dxa"/>
          </w:tcPr>
          <w:p w14:paraId="56A376C5" w14:textId="77777777" w:rsidR="00DF30E8" w:rsidRDefault="00000000" w:rsidP="00C555C1">
            <w:pPr>
              <w:pStyle w:val="Compact"/>
              <w:jc w:val="center"/>
            </w:pPr>
            <w:r>
              <w:t>Data, Wellness</w:t>
            </w:r>
          </w:p>
        </w:tc>
        <w:tc>
          <w:tcPr>
            <w:tcW w:w="3192" w:type="dxa"/>
          </w:tcPr>
          <w:p w14:paraId="581049B1" w14:textId="77777777" w:rsidR="00DF30E8" w:rsidRDefault="00000000">
            <w:pPr>
              <w:pStyle w:val="Compact"/>
            </w:pPr>
            <w:r>
              <w:t>Which projects receive Data/Workplace overhead</w:t>
            </w:r>
          </w:p>
        </w:tc>
      </w:tr>
      <w:tr w:rsidR="00DF30E8" w14:paraId="57B00AF1" w14:textId="77777777" w:rsidTr="00C555C1">
        <w:tc>
          <w:tcPr>
            <w:tcW w:w="3708" w:type="dxa"/>
          </w:tcPr>
          <w:p w14:paraId="759E6199" w14:textId="77777777" w:rsidR="00DF30E8" w:rsidRDefault="00000000">
            <w:pPr>
              <w:pStyle w:val="Compact"/>
            </w:pPr>
            <w:r>
              <w:t>Comp components (Strategy B)</w:t>
            </w:r>
          </w:p>
        </w:tc>
        <w:tc>
          <w:tcPr>
            <w:tcW w:w="2676" w:type="dxa"/>
          </w:tcPr>
          <w:p w14:paraId="58130FE2" w14:textId="77777777" w:rsidR="00DF30E8" w:rsidRDefault="00000000" w:rsidP="00C555C1">
            <w:pPr>
              <w:pStyle w:val="Compact"/>
              <w:jc w:val="center"/>
            </w:pPr>
            <w:r>
              <w:t>7 column names</w:t>
            </w:r>
          </w:p>
        </w:tc>
        <w:tc>
          <w:tcPr>
            <w:tcW w:w="3192" w:type="dxa"/>
          </w:tcPr>
          <w:p w14:paraId="6E55411E" w14:textId="77777777" w:rsidR="00DF30E8" w:rsidRDefault="00000000">
            <w:pPr>
              <w:pStyle w:val="Compact"/>
            </w:pPr>
            <w:r>
              <w:t>What gets summed for monthly compensation</w:t>
            </w:r>
          </w:p>
        </w:tc>
      </w:tr>
      <w:bookmarkEnd w:id="0"/>
      <w:bookmarkEnd w:id="46"/>
    </w:tbl>
    <w:p w14:paraId="17A0A0BC" w14:textId="77777777" w:rsidR="002F67BB" w:rsidRDefault="002F67BB"/>
    <w:sectPr w:rsidR="002F67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1F8ED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B491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F8015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BDA02C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0A99732"/>
    <w:multiLevelType w:val="multilevel"/>
    <w:tmpl w:val="53488B0C"/>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 w16cid:durableId="530150381">
    <w:abstractNumId w:val="0"/>
  </w:num>
  <w:num w:numId="2" w16cid:durableId="1150444407">
    <w:abstractNumId w:val="1"/>
  </w:num>
  <w:num w:numId="3" w16cid:durableId="894009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7587336">
    <w:abstractNumId w:val="1"/>
  </w:num>
  <w:num w:numId="5" w16cid:durableId="143553383">
    <w:abstractNumId w:val="1"/>
  </w:num>
  <w:num w:numId="6" w16cid:durableId="2077124606">
    <w:abstractNumId w:val="1"/>
  </w:num>
  <w:num w:numId="7" w16cid:durableId="17319258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9209926">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1930918040">
    <w:abstractNumId w:val="1"/>
  </w:num>
  <w:num w:numId="10" w16cid:durableId="706685392">
    <w:abstractNumId w:val="1"/>
  </w:num>
  <w:num w:numId="11" w16cid:durableId="1297182785">
    <w:abstractNumId w:val="1"/>
  </w:num>
  <w:num w:numId="12" w16cid:durableId="869336661">
    <w:abstractNumId w:val="1"/>
  </w:num>
  <w:num w:numId="13" w16cid:durableId="789205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F30E8"/>
    <w:rsid w:val="002F67BB"/>
    <w:rsid w:val="004870EA"/>
    <w:rsid w:val="008E5413"/>
    <w:rsid w:val="00C555C1"/>
    <w:rsid w:val="00DF3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89633"/>
  <w15:docId w15:val="{091FBFF3-4FDC-B049-8A09-D7A4256F4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C555C1"/>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5C1"/>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555C1"/>
    <w:pPr>
      <w:spacing w:before="120" w:after="0"/>
    </w:pPr>
    <w:rPr>
      <w:b/>
      <w:bCs/>
      <w:i/>
      <w:iCs/>
    </w:rPr>
  </w:style>
  <w:style w:type="paragraph" w:styleId="TOC2">
    <w:name w:val="toc 2"/>
    <w:basedOn w:val="Normal"/>
    <w:next w:val="Normal"/>
    <w:autoRedefine/>
    <w:uiPriority w:val="39"/>
    <w:rsid w:val="00C555C1"/>
    <w:pPr>
      <w:spacing w:before="120" w:after="0"/>
      <w:ind w:left="240"/>
    </w:pPr>
    <w:rPr>
      <w:b/>
      <w:bCs/>
      <w:sz w:val="22"/>
      <w:szCs w:val="22"/>
    </w:rPr>
  </w:style>
  <w:style w:type="paragraph" w:styleId="TOC3">
    <w:name w:val="toc 3"/>
    <w:basedOn w:val="Normal"/>
    <w:next w:val="Normal"/>
    <w:autoRedefine/>
    <w:uiPriority w:val="39"/>
    <w:rsid w:val="00C555C1"/>
    <w:pPr>
      <w:spacing w:after="0"/>
      <w:ind w:left="480"/>
    </w:pPr>
    <w:rPr>
      <w:sz w:val="20"/>
      <w:szCs w:val="20"/>
    </w:rPr>
  </w:style>
  <w:style w:type="paragraph" w:styleId="TOC4">
    <w:name w:val="toc 4"/>
    <w:basedOn w:val="Normal"/>
    <w:next w:val="Normal"/>
    <w:autoRedefine/>
    <w:rsid w:val="00C555C1"/>
    <w:pPr>
      <w:spacing w:after="0"/>
      <w:ind w:left="720"/>
    </w:pPr>
    <w:rPr>
      <w:sz w:val="20"/>
      <w:szCs w:val="20"/>
    </w:rPr>
  </w:style>
  <w:style w:type="paragraph" w:styleId="TOC5">
    <w:name w:val="toc 5"/>
    <w:basedOn w:val="Normal"/>
    <w:next w:val="Normal"/>
    <w:autoRedefine/>
    <w:rsid w:val="00C555C1"/>
    <w:pPr>
      <w:spacing w:after="0"/>
      <w:ind w:left="960"/>
    </w:pPr>
    <w:rPr>
      <w:sz w:val="20"/>
      <w:szCs w:val="20"/>
    </w:rPr>
  </w:style>
  <w:style w:type="paragraph" w:styleId="TOC6">
    <w:name w:val="toc 6"/>
    <w:basedOn w:val="Normal"/>
    <w:next w:val="Normal"/>
    <w:autoRedefine/>
    <w:rsid w:val="00C555C1"/>
    <w:pPr>
      <w:spacing w:after="0"/>
      <w:ind w:left="1200"/>
    </w:pPr>
    <w:rPr>
      <w:sz w:val="20"/>
      <w:szCs w:val="20"/>
    </w:rPr>
  </w:style>
  <w:style w:type="paragraph" w:styleId="TOC7">
    <w:name w:val="toc 7"/>
    <w:basedOn w:val="Normal"/>
    <w:next w:val="Normal"/>
    <w:autoRedefine/>
    <w:rsid w:val="00C555C1"/>
    <w:pPr>
      <w:spacing w:after="0"/>
      <w:ind w:left="1440"/>
    </w:pPr>
    <w:rPr>
      <w:sz w:val="20"/>
      <w:szCs w:val="20"/>
    </w:rPr>
  </w:style>
  <w:style w:type="paragraph" w:styleId="TOC8">
    <w:name w:val="toc 8"/>
    <w:basedOn w:val="Normal"/>
    <w:next w:val="Normal"/>
    <w:autoRedefine/>
    <w:rsid w:val="00C555C1"/>
    <w:pPr>
      <w:spacing w:after="0"/>
      <w:ind w:left="1680"/>
    </w:pPr>
    <w:rPr>
      <w:sz w:val="20"/>
      <w:szCs w:val="20"/>
    </w:rPr>
  </w:style>
  <w:style w:type="paragraph" w:styleId="TOC9">
    <w:name w:val="toc 9"/>
    <w:basedOn w:val="Normal"/>
    <w:next w:val="Normal"/>
    <w:autoRedefine/>
    <w:rsid w:val="00C555C1"/>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8B954-337A-244C-AC23-2F3E78BC0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2437</Words>
  <Characters>13381</Characters>
  <Application>Microsoft Office Word</Application>
  <DocSecurity>0</DocSecurity>
  <Lines>418</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Topher Rasmussen</cp:lastModifiedBy>
  <cp:revision>2</cp:revision>
  <dcterms:created xsi:type="dcterms:W3CDTF">2026-03-03T17:28:00Z</dcterms:created>
  <dcterms:modified xsi:type="dcterms:W3CDTF">2026-03-03T17:39:00Z</dcterms:modified>
</cp:coreProperties>
</file>