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论高空抛物致害责任的体系构造——以《中华人民共和国民法典》第一千二百五十四条为中心</w:t>
      </w:r>
    </w:p>
    <w:p>
      <w:r>
        <w:t>高空抛物行为被称为“悬在城市上空的痛”。《中华人民共和国民法典》第一千二百五十四条在承继《侵权责任法》第八十七条的基础上，重构了高空抛物致害责任的规则体系，确立了禁止抛掷、举证责任、公安调查、建筑物使用人补偿与可能加害人追偿相结合的多元规制结构。</w:t>
      </w:r>
    </w:p>
    <w:p>
      <w:pPr>
        <w:pStyle w:val="Heading2"/>
      </w:pPr>
      <w:r>
        <w:t>一、问题的提出</w:t>
      </w:r>
    </w:p>
    <w:p>
      <w:r>
        <w:t>在“重庆烟灰缸案”“济南菜板案”等经典案件之后，高空抛物致害的责任分配一直是侵权法上最具争议的问题之一。《民法典》第一千二百五十四条第一款规定，禁止从建筑物中抛掷物品；从建筑物中抛掷物品或者从建筑物上坠落的物品造成他人损害的，由侵权人依法承担侵权责任。这一规定如何与《民法典》第一千一百六十五条的过错责任一般条款相衔接，值得深入检讨。</w:t>
      </w:r>
    </w:p>
    <w:p>
      <w:pPr>
        <w:pStyle w:val="Heading2"/>
      </w:pPr>
      <w:r>
        <w:t>二、规范构造：三个层次的责任体系</w:t>
      </w:r>
    </w:p>
    <w:p>
      <w:r>
        <w:t>其一，直接侵权人的责任。抛掷行为构成加害行为，适用《民法典》第一千一百六十五条第一款之过错责任。其二，经调查难以确定具体侵权人时，由可能加害的建筑物使用人给予补偿。此种补偿责任并非侵权责任，而是一种基于公平理念的损失分担。其三，建筑物管理人未采取安全保障措施的，适用《民法典》第一千一百九十八条的违反安全保障义务责任。</w:t>
      </w:r>
    </w:p>
    <w:p>
      <w:pPr>
        <w:pStyle w:val="Heading2"/>
      </w:pPr>
      <w:r>
        <w:t>三、与既有学说的对话</w:t>
      </w:r>
    </w:p>
    <w:p>
      <w:r>
        <w:t>有学者主张废除补偿规则，认为其违背自己责任原则；亦有观点认为应当类推适用《民法典》第一千二百五十二条的建筑物倒塌责任。本文认为，补偿规则虽在正当性上存在张力，但在查明机制（公安调查前置）显著强化的背景下，其适用空间已被大幅压缩，具有实益。</w:t>
      </w:r>
    </w:p>
    <w:p>
      <w:r>
        <w:t>值得注意的是，刑法修正案（十一）增设的高空抛物罪与《刑法》第二百九十一条之二为行政与刑事制裁提供了衔接，民刑协同的规范图景正在形成。</w:t>
      </w:r>
    </w:p>
    <w:p>
      <w:pPr>
        <w:pStyle w:val="Heading2"/>
      </w:pPr>
      <w:r>
        <w:t>四、结论</w:t>
      </w:r>
    </w:p>
    <w:p>
      <w:r>
        <w:t>《民法典》第一千二百五十四条通过多元责任结构的叠置，在高空抛物这一“证据偏在”极为严重的领域实现了受害人保护与行为自由的平衡。未来的解释论重点在于可能加害的建筑物使用人范围的限缩与追偿权的行使要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论高空抛物致害责任的体系构造</dc:title>
  <dc:subject/>
  <dc:creator>李文澜</dc:creator>
  <cp:keywords/>
  <dc:description>generated by python-docx</dc:description>
  <cp:lastModifiedBy/>
  <cp:revision>1</cp:revision>
  <dcterms:created xsi:type="dcterms:W3CDTF">2013-12-23T23:15:00Z</dcterms:created>
  <dcterms:modified xsi:type="dcterms:W3CDTF">2013-12-23T23:15:00Z</dcterms:modified>
  <cp:category/>
</cp:coreProperties>
</file>