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1254"/>
        <w:gridCol w:w="1244"/>
        <w:gridCol w:w="5558"/>
      </w:tblGrid>
      <w:tr w:rsidR="00EC2ED0" w:rsidRPr="00EC2ED0" w14:paraId="23B2E17F" w14:textId="77777777" w:rsidTr="000D408E">
        <w:trPr>
          <w:trHeight w:val="1526"/>
        </w:trPr>
        <w:tc>
          <w:tcPr>
            <w:tcW w:w="1077" w:type="dxa"/>
            <w:gridSpan w:val="2"/>
            <w:tcBorders>
              <w:top w:val="single" w:sz="2" w:space="0" w:color="000000"/>
              <w:left w:val="nil"/>
              <w:bottom w:val="single" w:sz="6" w:space="0" w:color="000000"/>
              <w:right w:val="nil"/>
            </w:tcBorders>
            <w:tcMar>
              <w:top w:w="0" w:type="dxa"/>
              <w:left w:w="0" w:type="dxa"/>
              <w:bottom w:w="0" w:type="dxa"/>
              <w:right w:w="0" w:type="dxa"/>
            </w:tcMar>
            <w:vAlign w:val="center"/>
            <w:hideMark/>
          </w:tcPr>
          <w:p w14:paraId="3548AD91" w14:textId="77777777" w:rsidR="000D408E" w:rsidRPr="00EC2ED0" w:rsidRDefault="000D408E" w:rsidP="009A138F">
            <w:pPr>
              <w:spacing w:line="384" w:lineRule="auto"/>
              <w:ind w:left="1418"/>
              <w:textAlignment w:val="baseline"/>
              <w:rPr>
                <w:rFonts w:ascii="함초롬바탕" w:eastAsia="Gulim" w:hAnsi="Gulim" w:cs="Gulim"/>
                <w:color w:val="000000" w:themeColor="text1"/>
                <w:szCs w:val="20"/>
              </w:rPr>
            </w:pPr>
            <w:r w:rsidRPr="00EC2ED0">
              <w:rPr>
                <w:rFonts w:ascii="함초롬바탕" w:eastAsia="Gulim" w:hAnsi="Gulim" w:cs="Gulim"/>
                <w:noProof/>
                <w:color w:val="000000" w:themeColor="text1"/>
                <w:szCs w:val="20"/>
              </w:rPr>
              <w:drawing>
                <wp:inline distT="0" distB="0" distL="0" distR="0" wp14:anchorId="2EE5B06F" wp14:editId="039FD2D1">
                  <wp:extent cx="682625" cy="969010"/>
                  <wp:effectExtent l="0" t="0" r="3175" b="2540"/>
                  <wp:docPr id="9" name="_x63560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56086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2625" cy="969010"/>
                          </a:xfrm>
                          <a:prstGeom prst="rect">
                            <a:avLst/>
                          </a:prstGeom>
                          <a:noFill/>
                          <a:ln>
                            <a:noFill/>
                          </a:ln>
                        </pic:spPr>
                      </pic:pic>
                    </a:graphicData>
                  </a:graphic>
                </wp:inline>
              </w:drawing>
            </w:r>
          </w:p>
        </w:tc>
        <w:tc>
          <w:tcPr>
            <w:tcW w:w="7190" w:type="dxa"/>
            <w:tcBorders>
              <w:top w:val="single" w:sz="2" w:space="0" w:color="000000"/>
              <w:left w:val="nil"/>
              <w:bottom w:val="single" w:sz="6" w:space="0" w:color="000000"/>
              <w:right w:val="nil"/>
            </w:tcBorders>
            <w:tcMar>
              <w:top w:w="113" w:type="dxa"/>
              <w:left w:w="0" w:type="dxa"/>
              <w:bottom w:w="0" w:type="dxa"/>
              <w:right w:w="170" w:type="dxa"/>
            </w:tcMar>
            <w:hideMark/>
          </w:tcPr>
          <w:p w14:paraId="4037711D" w14:textId="77777777" w:rsidR="000D408E" w:rsidRPr="00EC2ED0" w:rsidRDefault="000D408E" w:rsidP="000D408E">
            <w:pPr>
              <w:spacing w:line="288" w:lineRule="auto"/>
              <w:textAlignment w:val="baseline"/>
              <w:rPr>
                <w:rFonts w:ascii="함초롬바탕" w:eastAsia="Gulim" w:hAnsi="Gulim" w:cs="Gulim"/>
                <w:color w:val="000000" w:themeColor="text1"/>
                <w:szCs w:val="20"/>
              </w:rPr>
            </w:pPr>
            <w:r w:rsidRPr="00EC2ED0">
              <w:rPr>
                <w:rFonts w:eastAsia="휴먼명조"/>
                <w:color w:val="000000" w:themeColor="text1"/>
                <w:sz w:val="14"/>
                <w:szCs w:val="14"/>
              </w:rPr>
              <w:t>GLOBAL BUSINESS &amp; FINANCE REVIEW, Volume. xx Issue. x (DECEMBER 20xx), -10</w:t>
            </w:r>
          </w:p>
          <w:p w14:paraId="29FB2C6B" w14:textId="77777777" w:rsidR="000D408E" w:rsidRPr="00EC2ED0" w:rsidRDefault="000D408E" w:rsidP="000D408E">
            <w:pPr>
              <w:spacing w:line="288" w:lineRule="auto"/>
              <w:textAlignment w:val="baseline"/>
              <w:rPr>
                <w:rFonts w:ascii="함초롬바탕" w:eastAsia="Gulim" w:hAnsi="Gulim" w:cs="Gulim"/>
                <w:color w:val="000000" w:themeColor="text1"/>
                <w:szCs w:val="20"/>
              </w:rPr>
            </w:pPr>
            <w:r w:rsidRPr="00EC2ED0">
              <w:rPr>
                <w:rFonts w:eastAsia="휴먼명조"/>
                <w:color w:val="000000" w:themeColor="text1"/>
                <w:sz w:val="14"/>
                <w:szCs w:val="14"/>
              </w:rPr>
              <w:t>pISSN 1088-6931/eISSN 2384-1648</w:t>
            </w:r>
            <w:r w:rsidRPr="00EC2ED0">
              <w:rPr>
                <w:rFonts w:ascii="Cambria Math" w:eastAsia="휴먼명조" w:hAnsi="Cambria Math" w:cs="Cambria Math"/>
                <w:color w:val="000000" w:themeColor="text1"/>
                <w:sz w:val="14"/>
                <w:szCs w:val="14"/>
              </w:rPr>
              <w:t>∣</w:t>
            </w:r>
            <w:r w:rsidRPr="00EC2ED0">
              <w:rPr>
                <w:rFonts w:eastAsia="휴먼명조"/>
                <w:color w:val="000000" w:themeColor="text1"/>
                <w:sz w:val="14"/>
                <w:szCs w:val="14"/>
              </w:rPr>
              <w:t>Https://doi.org/10.17549/gbfr.20xx.28.7.</w:t>
            </w:r>
          </w:p>
          <w:p w14:paraId="76EC88E8" w14:textId="77777777" w:rsidR="000D408E" w:rsidRPr="00EC2ED0" w:rsidRDefault="000D408E" w:rsidP="000D408E">
            <w:pPr>
              <w:spacing w:line="264" w:lineRule="auto"/>
              <w:textAlignment w:val="baseline"/>
              <w:rPr>
                <w:rFonts w:ascii="함초롬바탕" w:eastAsia="Gulim" w:hAnsi="Gulim" w:cs="Gulim"/>
                <w:color w:val="000000" w:themeColor="text1"/>
                <w:szCs w:val="20"/>
              </w:rPr>
            </w:pPr>
          </w:p>
          <w:p w14:paraId="6B4D352C" w14:textId="77777777" w:rsidR="000D408E" w:rsidRPr="00EC2ED0" w:rsidRDefault="000D408E" w:rsidP="000D408E">
            <w:pPr>
              <w:spacing w:line="384" w:lineRule="auto"/>
              <w:jc w:val="center"/>
              <w:textAlignment w:val="baseline"/>
              <w:rPr>
                <w:rFonts w:ascii="함초롬바탕" w:eastAsia="Gulim" w:hAnsi="Gulim" w:cs="Gulim"/>
                <w:color w:val="000000" w:themeColor="text1"/>
                <w:szCs w:val="20"/>
              </w:rPr>
            </w:pPr>
            <w:r w:rsidRPr="00EC2ED0">
              <w:rPr>
                <w:rFonts w:ascii="Constantia" w:eastAsia="Gulim" w:hAnsi="Constantia" w:cs="Gulim"/>
                <w:b/>
                <w:bCs/>
                <w:color w:val="000000" w:themeColor="text1"/>
                <w:sz w:val="27"/>
                <w:szCs w:val="27"/>
              </w:rPr>
              <w:t>GLOBAL BUSINESS &amp; FINANCE REVIEW</w:t>
            </w:r>
          </w:p>
          <w:p w14:paraId="0BFDD3CC" w14:textId="77777777" w:rsidR="000D408E" w:rsidRPr="00EC2ED0" w:rsidRDefault="000D408E" w:rsidP="000D408E">
            <w:pPr>
              <w:spacing w:line="288" w:lineRule="auto"/>
              <w:jc w:val="center"/>
              <w:textAlignment w:val="baseline"/>
              <w:rPr>
                <w:rFonts w:ascii="함초롬바탕" w:eastAsia="Gulim" w:hAnsi="Gulim" w:cs="Gulim"/>
                <w:color w:val="000000" w:themeColor="text1"/>
                <w:szCs w:val="20"/>
              </w:rPr>
            </w:pPr>
            <w:r w:rsidRPr="00EC2ED0">
              <w:rPr>
                <w:rFonts w:eastAsia="휴먼명조"/>
                <w:color w:val="000000" w:themeColor="text1"/>
                <w:sz w:val="14"/>
                <w:szCs w:val="14"/>
              </w:rPr>
              <w:t>www.gbfrjournal.org</w:t>
            </w:r>
          </w:p>
        </w:tc>
      </w:tr>
      <w:tr w:rsidR="00EC2ED0" w:rsidRPr="00EC2ED0" w14:paraId="589475CB" w14:textId="77777777" w:rsidTr="000D408E">
        <w:trPr>
          <w:trHeight w:val="1683"/>
        </w:trPr>
        <w:tc>
          <w:tcPr>
            <w:tcW w:w="8267" w:type="dxa"/>
            <w:gridSpan w:val="3"/>
            <w:tcBorders>
              <w:top w:val="single" w:sz="6" w:space="0" w:color="000000"/>
              <w:left w:val="nil"/>
              <w:bottom w:val="nil"/>
              <w:right w:val="nil"/>
            </w:tcBorders>
            <w:tcMar>
              <w:top w:w="567" w:type="dxa"/>
              <w:left w:w="0" w:type="dxa"/>
              <w:bottom w:w="227" w:type="dxa"/>
              <w:right w:w="0" w:type="dxa"/>
            </w:tcMar>
            <w:hideMark/>
          </w:tcPr>
          <w:p w14:paraId="20819B4E" w14:textId="6F7263A7" w:rsidR="000D408E" w:rsidRPr="00EC2ED0" w:rsidRDefault="00295677" w:rsidP="001667E2">
            <w:pPr>
              <w:spacing w:after="270" w:line="280" w:lineRule="exact"/>
              <w:jc w:val="both"/>
              <w:textAlignment w:val="baseline"/>
              <w:rPr>
                <w:rFonts w:ascii="함초롬바탕" w:eastAsia="Gulim" w:hAnsi="Gulim" w:cs="Gulim"/>
                <w:color w:val="000000" w:themeColor="text1"/>
                <w:szCs w:val="20"/>
              </w:rPr>
            </w:pPr>
            <w:bookmarkStart w:id="0" w:name="논문_1"/>
            <w:r w:rsidRPr="00EC2ED0">
              <w:rPr>
                <w:rFonts w:ascii="Constantia" w:eastAsia="함초롬바탕" w:hAnsi="Constantia" w:cs="Gulim"/>
                <w:b/>
                <w:bCs/>
                <w:color w:val="000000" w:themeColor="text1"/>
                <w:sz w:val="27"/>
                <w:szCs w:val="27"/>
              </w:rPr>
              <w:t>Customer satisfaction in maritime FCL import services in Vietnam: The mediating roles of employee competence and documentation efficiency</w:t>
            </w:r>
          </w:p>
          <w:p w14:paraId="272FD4D5" w14:textId="3829C6FC" w:rsidR="000D408E" w:rsidRPr="00EC2ED0" w:rsidRDefault="002F5401" w:rsidP="001667E2">
            <w:pPr>
              <w:jc w:val="both"/>
              <w:textAlignment w:val="baseline"/>
              <w:rPr>
                <w:rFonts w:ascii="함초롬바탕" w:eastAsia="Gulim" w:hAnsi="Gulim" w:cs="Gulim"/>
                <w:color w:val="000000" w:themeColor="text1"/>
                <w:szCs w:val="20"/>
              </w:rPr>
            </w:pPr>
            <w:r w:rsidRPr="00EC2ED0">
              <w:rPr>
                <w:rFonts w:ascii="함초롬바탕" w:eastAsia="함초롬바탕" w:hAnsi="Gulim" w:cs="Gulim"/>
                <w:color w:val="000000" w:themeColor="text1"/>
                <w:szCs w:val="20"/>
              </w:rPr>
              <w:t>Thuan Le Duc</w:t>
            </w:r>
            <w:r w:rsidR="00215164" w:rsidRPr="00EC2ED0">
              <w:rPr>
                <w:rFonts w:ascii="함초롬바탕" w:eastAsia="함초롬바탕" w:hAnsi="Gulim" w:cs="Gulim"/>
                <w:color w:val="000000" w:themeColor="text1"/>
                <w:szCs w:val="20"/>
              </w:rPr>
              <w:t xml:space="preserve"> </w:t>
            </w:r>
            <w:r w:rsidR="00C22F81" w:rsidRPr="00EC2ED0">
              <w:rPr>
                <w:rFonts w:ascii="함초롬바탕" w:eastAsia="함초롬바탕" w:hAnsi="Gulim" w:cs="Gulim"/>
                <w:color w:val="000000" w:themeColor="text1"/>
                <w:szCs w:val="20"/>
              </w:rPr>
              <w:t>(Corresponding Author)</w:t>
            </w:r>
            <w:r w:rsidR="00215164" w:rsidRPr="00EC2ED0">
              <w:rPr>
                <w:rFonts w:ascii="함초롬바탕" w:eastAsia="함초롬바탕" w:hAnsi="Gulim" w:cs="Gulim"/>
                <w:color w:val="000000" w:themeColor="text1"/>
                <w:szCs w:val="20"/>
              </w:rPr>
              <w:t xml:space="preserve"> </w:t>
            </w:r>
            <w:r w:rsidR="000D408E" w:rsidRPr="00EC2ED0">
              <w:rPr>
                <w:rFonts w:ascii="Constantia" w:eastAsia="함초롬바탕" w:hAnsi="Constantia" w:cs="Gulim"/>
                <w:color w:val="000000" w:themeColor="text1"/>
                <w:spacing w:val="-10"/>
                <w:sz w:val="23"/>
                <w:szCs w:val="23"/>
                <w:vertAlign w:val="superscript"/>
              </w:rPr>
              <w:t>a</w:t>
            </w:r>
            <w:r w:rsidR="00642CB2" w:rsidRPr="00EC2ED0">
              <w:rPr>
                <w:rFonts w:ascii="함초롬바탕" w:eastAsia="함초롬바탕" w:hAnsi="Calibri" w:cs="함초롬바탕" w:hint="eastAsia"/>
                <w:color w:val="000000" w:themeColor="text1"/>
                <w:spacing w:val="-10"/>
                <w:sz w:val="23"/>
                <w:szCs w:val="23"/>
                <w:vertAlign w:val="superscript"/>
              </w:rPr>
              <w:t>†</w:t>
            </w:r>
            <w:r w:rsidR="000D408E" w:rsidRPr="00EC2ED0">
              <w:rPr>
                <w:rFonts w:ascii="Constantia" w:eastAsia="함초롬바탕" w:hAnsi="Constantia" w:cs="Gulim"/>
                <w:color w:val="000000" w:themeColor="text1"/>
                <w:spacing w:val="-10"/>
                <w:sz w:val="23"/>
                <w:szCs w:val="23"/>
              </w:rPr>
              <w:t xml:space="preserve">, </w:t>
            </w:r>
            <w:r w:rsidR="00176C4F" w:rsidRPr="00EC2ED0">
              <w:rPr>
                <w:rFonts w:ascii="함초롬바탕" w:eastAsia="함초롬바탕" w:hAnsi="Gulim" w:cs="Gulim"/>
                <w:color w:val="000000" w:themeColor="text1"/>
                <w:szCs w:val="20"/>
              </w:rPr>
              <w:t>Hai Doan Nam</w:t>
            </w:r>
            <w:r w:rsidR="000D408E" w:rsidRPr="00EC2ED0">
              <w:rPr>
                <w:rFonts w:ascii="Constantia" w:eastAsia="함초롬바탕" w:hAnsi="Constantia" w:cs="Gulim"/>
                <w:color w:val="000000" w:themeColor="text1"/>
                <w:spacing w:val="-10"/>
                <w:sz w:val="23"/>
                <w:szCs w:val="23"/>
                <w:vertAlign w:val="superscript"/>
              </w:rPr>
              <w:t>b</w:t>
            </w:r>
            <w:r w:rsidR="000C7F29" w:rsidRPr="00EC2ED0">
              <w:rPr>
                <w:rFonts w:ascii="함초롬바탕" w:eastAsia="함초롬바탕" w:hAnsi="Calibri" w:cs="함초롬바탕"/>
                <w:color w:val="000000" w:themeColor="text1"/>
                <w:spacing w:val="-10"/>
                <w:sz w:val="23"/>
                <w:szCs w:val="23"/>
              </w:rPr>
              <w:t xml:space="preserve">, </w:t>
            </w:r>
            <w:r w:rsidR="00F24870" w:rsidRPr="00EC2ED0">
              <w:rPr>
                <w:rFonts w:ascii="함초롬바탕" w:eastAsia="함초롬바탕" w:hAnsi="Gulim" w:cs="Gulim"/>
                <w:color w:val="000000" w:themeColor="text1"/>
                <w:szCs w:val="20"/>
              </w:rPr>
              <w:t>Tram-Anh Nguyen Ngoc</w:t>
            </w:r>
            <w:r w:rsidR="009144C4" w:rsidRPr="00EC2ED0">
              <w:rPr>
                <w:rFonts w:ascii="함초롬바탕" w:eastAsia="함초롬바탕" w:hAnsi="Gulim" w:cs="Gulim"/>
                <w:color w:val="000000" w:themeColor="text1"/>
                <w:szCs w:val="20"/>
                <w:vertAlign w:val="superscript"/>
              </w:rPr>
              <w:t>c</w:t>
            </w:r>
            <w:r w:rsidR="00DD5BC0" w:rsidRPr="00EC2ED0">
              <w:rPr>
                <w:rFonts w:ascii="함초롬바탕" w:eastAsia="함초롬바탕" w:hAnsi="Gulim" w:cs="Gulim"/>
                <w:color w:val="000000" w:themeColor="text1"/>
                <w:szCs w:val="20"/>
              </w:rPr>
              <w:t>,</w:t>
            </w:r>
            <w:r w:rsidR="009144C4" w:rsidRPr="00EC2ED0">
              <w:rPr>
                <w:rFonts w:ascii="함초롬바탕" w:eastAsia="함초롬바탕" w:hAnsi="Gulim" w:cs="Gulim"/>
                <w:color w:val="000000" w:themeColor="text1"/>
                <w:szCs w:val="20"/>
              </w:rPr>
              <w:t xml:space="preserve"> </w:t>
            </w:r>
            <w:r w:rsidR="0008624F" w:rsidRPr="00EC2ED0">
              <w:rPr>
                <w:rFonts w:ascii="함초롬바탕" w:eastAsia="함초롬바탕" w:hAnsi="Gulim" w:cs="Gulim"/>
                <w:color w:val="000000" w:themeColor="text1"/>
                <w:szCs w:val="20"/>
              </w:rPr>
              <w:t>Linh Luong Nguyen-Hoai</w:t>
            </w:r>
            <w:r w:rsidR="00C22A05" w:rsidRPr="00EC2ED0">
              <w:rPr>
                <w:rFonts w:ascii="함초롬바탕" w:eastAsia="함초롬바탕" w:hAnsi="Gulim" w:cs="Gulim"/>
                <w:color w:val="000000" w:themeColor="text1"/>
                <w:szCs w:val="20"/>
                <w:vertAlign w:val="superscript"/>
              </w:rPr>
              <w:t>d</w:t>
            </w:r>
          </w:p>
          <w:p w14:paraId="7104AC85" w14:textId="27CFA011" w:rsidR="000D408E" w:rsidRPr="00EC2ED0" w:rsidRDefault="000D408E" w:rsidP="001667E2">
            <w:pPr>
              <w:spacing w:line="160" w:lineRule="exact"/>
              <w:jc w:val="both"/>
              <w:textAlignment w:val="baseline"/>
              <w:rPr>
                <w:rFonts w:ascii="함초롬바탕" w:eastAsia="Gulim" w:hAnsi="Gulim" w:cs="Gulim"/>
                <w:color w:val="000000" w:themeColor="text1"/>
                <w:szCs w:val="20"/>
              </w:rPr>
            </w:pPr>
            <w:r w:rsidRPr="00EC2ED0">
              <w:rPr>
                <w:rFonts w:eastAsia="함초롬바탕"/>
                <w:i/>
                <w:iCs/>
                <w:color w:val="000000" w:themeColor="text1"/>
                <w:spacing w:val="-10"/>
                <w:sz w:val="14"/>
                <w:szCs w:val="14"/>
                <w:vertAlign w:val="superscript"/>
              </w:rPr>
              <w:t>a</w:t>
            </w:r>
            <w:r w:rsidR="00F35A67" w:rsidRPr="00EC2ED0">
              <w:rPr>
                <w:rFonts w:eastAsia="함초롬바탕"/>
                <w:i/>
                <w:iCs/>
                <w:color w:val="000000" w:themeColor="text1"/>
                <w:spacing w:val="-10"/>
                <w:sz w:val="14"/>
                <w:szCs w:val="14"/>
                <w:vertAlign w:val="superscript"/>
              </w:rPr>
              <w:t>,b,c</w:t>
            </w:r>
            <w:r w:rsidR="00F35A67" w:rsidRPr="00EC2ED0">
              <w:rPr>
                <w:rFonts w:eastAsia="함초롬바탕"/>
                <w:i/>
                <w:iCs/>
                <w:color w:val="000000" w:themeColor="text1"/>
                <w:spacing w:val="-10"/>
                <w:sz w:val="15"/>
                <w:szCs w:val="15"/>
              </w:rPr>
              <w:t>School of Business &amp; Law, Saigon International University, Ho Chi Minh City, Vietnam</w:t>
            </w:r>
          </w:p>
          <w:p w14:paraId="5B5B4C8C" w14:textId="3B5241B8" w:rsidR="005615D9" w:rsidRPr="00EC2ED0" w:rsidRDefault="005E3532" w:rsidP="001667E2">
            <w:pPr>
              <w:spacing w:line="160" w:lineRule="exact"/>
              <w:jc w:val="both"/>
              <w:textAlignment w:val="baseline"/>
              <w:rPr>
                <w:rFonts w:eastAsia="함초롬바탕"/>
                <w:i/>
                <w:iCs/>
                <w:color w:val="000000" w:themeColor="text1"/>
                <w:spacing w:val="-10"/>
                <w:sz w:val="15"/>
                <w:szCs w:val="15"/>
              </w:rPr>
            </w:pPr>
            <w:r w:rsidRPr="00EC2ED0">
              <w:rPr>
                <w:rFonts w:eastAsia="함초롬바탕"/>
                <w:i/>
                <w:iCs/>
                <w:color w:val="000000" w:themeColor="text1"/>
                <w:spacing w:val="-10"/>
                <w:sz w:val="15"/>
                <w:szCs w:val="15"/>
                <w:vertAlign w:val="superscript"/>
              </w:rPr>
              <w:t>d</w:t>
            </w:r>
            <w:r w:rsidR="00A5424F" w:rsidRPr="00EC2ED0">
              <w:rPr>
                <w:rFonts w:eastAsia="함초롬바탕"/>
                <w:i/>
                <w:iCs/>
                <w:color w:val="000000" w:themeColor="text1"/>
                <w:spacing w:val="-10"/>
                <w:sz w:val="15"/>
                <w:szCs w:val="15"/>
              </w:rPr>
              <w:t>Department of Logistics, Faculty of Economics, College of Technology and Business Administration, Ho Chi Minh City, Vietnam</w:t>
            </w:r>
          </w:p>
        </w:tc>
        <w:bookmarkEnd w:id="0"/>
      </w:tr>
      <w:tr w:rsidR="00EC2ED0" w:rsidRPr="00EC2ED0" w14:paraId="58D650FB" w14:textId="77777777" w:rsidTr="000D408E">
        <w:trPr>
          <w:trHeight w:val="184"/>
        </w:trPr>
        <w:tc>
          <w:tcPr>
            <w:tcW w:w="8267" w:type="dxa"/>
            <w:gridSpan w:val="3"/>
            <w:tcBorders>
              <w:top w:val="single" w:sz="2" w:space="0" w:color="000000"/>
              <w:left w:val="nil"/>
              <w:bottom w:val="nil"/>
              <w:right w:val="nil"/>
            </w:tcBorders>
            <w:tcMar>
              <w:top w:w="283" w:type="dxa"/>
              <w:left w:w="0" w:type="dxa"/>
              <w:bottom w:w="170" w:type="dxa"/>
              <w:right w:w="0" w:type="dxa"/>
            </w:tcMar>
            <w:hideMark/>
          </w:tcPr>
          <w:p w14:paraId="5277CBE7" w14:textId="77777777" w:rsidR="000D408E" w:rsidRPr="00EC2ED0" w:rsidRDefault="000D408E" w:rsidP="000D408E">
            <w:pPr>
              <w:spacing w:line="288" w:lineRule="auto"/>
              <w:textAlignment w:val="baseline"/>
              <w:rPr>
                <w:rFonts w:ascii="함초롬바탕" w:eastAsia="Gulim" w:hAnsi="Gulim" w:cs="Gulim"/>
                <w:color w:val="000000" w:themeColor="text1"/>
                <w:szCs w:val="20"/>
              </w:rPr>
            </w:pPr>
            <w:r w:rsidRPr="00EC2ED0">
              <w:rPr>
                <w:rFonts w:ascii="Constantia" w:eastAsia="KoPubWorld바탕체 Light" w:hAnsi="Constantia" w:cs="Gulim"/>
                <w:color w:val="000000" w:themeColor="text1"/>
                <w:spacing w:val="-20"/>
                <w:w w:val="98"/>
                <w:sz w:val="16"/>
                <w:szCs w:val="16"/>
              </w:rPr>
              <w:t>A B S T R A C T</w:t>
            </w:r>
          </w:p>
        </w:tc>
      </w:tr>
      <w:tr w:rsidR="00EC2ED0" w:rsidRPr="00EC2ED0" w14:paraId="50D6F468" w14:textId="77777777" w:rsidTr="000D408E">
        <w:trPr>
          <w:trHeight w:val="482"/>
        </w:trPr>
        <w:tc>
          <w:tcPr>
            <w:tcW w:w="540" w:type="dxa"/>
            <w:vMerge w:val="restart"/>
            <w:tcBorders>
              <w:top w:val="nil"/>
              <w:left w:val="nil"/>
              <w:bottom w:val="single" w:sz="2" w:space="0" w:color="000000"/>
              <w:right w:val="nil"/>
            </w:tcBorders>
            <w:tcMar>
              <w:top w:w="227" w:type="dxa"/>
              <w:left w:w="0" w:type="dxa"/>
              <w:bottom w:w="0" w:type="dxa"/>
              <w:right w:w="0" w:type="dxa"/>
            </w:tcMar>
            <w:hideMark/>
          </w:tcPr>
          <w:p w14:paraId="30ED94E3" w14:textId="77777777" w:rsidR="000D408E" w:rsidRPr="00EC2ED0" w:rsidRDefault="000D408E" w:rsidP="00C337AF">
            <w:pPr>
              <w:spacing w:line="360" w:lineRule="auto"/>
              <w:contextualSpacing/>
              <w:textAlignment w:val="baseline"/>
              <w:rPr>
                <w:rFonts w:ascii="함초롬바탕" w:eastAsia="Gulim" w:hAnsi="Gulim" w:cs="Gulim"/>
                <w:color w:val="000000" w:themeColor="text1"/>
                <w:sz w:val="17"/>
                <w:szCs w:val="17"/>
              </w:rPr>
            </w:pPr>
          </w:p>
        </w:tc>
        <w:tc>
          <w:tcPr>
            <w:tcW w:w="7727" w:type="dxa"/>
            <w:gridSpan w:val="2"/>
            <w:tcBorders>
              <w:top w:val="nil"/>
              <w:left w:val="nil"/>
              <w:bottom w:val="nil"/>
              <w:right w:val="nil"/>
            </w:tcBorders>
            <w:tcMar>
              <w:top w:w="28" w:type="dxa"/>
              <w:left w:w="28" w:type="dxa"/>
              <w:bottom w:w="283" w:type="dxa"/>
              <w:right w:w="28" w:type="dxa"/>
            </w:tcMar>
            <w:hideMark/>
          </w:tcPr>
          <w:p w14:paraId="25758AEE" w14:textId="2AED4D59" w:rsidR="000D408E" w:rsidRPr="00EC2ED0" w:rsidRDefault="000D408E" w:rsidP="004C3E05">
            <w:pPr>
              <w:spacing w:line="360" w:lineRule="auto"/>
              <w:contextualSpacing/>
              <w:jc w:val="both"/>
              <w:textAlignment w:val="baseline"/>
              <w:rPr>
                <w:rFonts w:eastAsia="KoPubWorld바탕체 Light"/>
                <w:i/>
                <w:iCs/>
                <w:color w:val="000000" w:themeColor="text1"/>
                <w:spacing w:val="-20"/>
                <w:w w:val="98"/>
                <w:sz w:val="17"/>
                <w:szCs w:val="17"/>
              </w:rPr>
            </w:pPr>
            <w:r w:rsidRPr="00EC2ED0">
              <w:rPr>
                <w:rFonts w:eastAsia="함초롬바탕"/>
                <w:b/>
                <w:bCs/>
                <w:color w:val="000000" w:themeColor="text1"/>
                <w:sz w:val="17"/>
                <w:szCs w:val="17"/>
              </w:rPr>
              <w:t>Purpose:</w:t>
            </w:r>
            <w:r w:rsidR="00374A92" w:rsidRPr="00EC2ED0">
              <w:rPr>
                <w:rFonts w:eastAsia="함초롬바탕"/>
                <w:b/>
                <w:bCs/>
                <w:color w:val="000000" w:themeColor="text1"/>
                <w:sz w:val="17"/>
                <w:szCs w:val="17"/>
              </w:rPr>
              <w:t xml:space="preserve"> </w:t>
            </w:r>
            <w:r w:rsidR="004F458F" w:rsidRPr="00EC2ED0">
              <w:rPr>
                <w:rFonts w:eastAsia="KoPubWorld바탕체 Light"/>
                <w:i/>
                <w:iCs/>
                <w:color w:val="000000" w:themeColor="text1"/>
                <w:spacing w:val="-20"/>
                <w:w w:val="98"/>
                <w:sz w:val="17"/>
                <w:szCs w:val="17"/>
              </w:rPr>
              <w:t>This study examines the determinants of B2B Customer Satisfaction in maritime FCL import services in Vietnam. The focus is placed on the execution mechanisms that connect Service Reliability to Satisfaction</w:t>
            </w:r>
            <w:r w:rsidR="00876458" w:rsidRPr="00EC2ED0">
              <w:rPr>
                <w:rFonts w:eastAsia="KoPubWorld바탕체 Light"/>
                <w:i/>
                <w:iCs/>
                <w:color w:val="000000" w:themeColor="text1"/>
                <w:spacing w:val="-20"/>
                <w:w w:val="98"/>
                <w:sz w:val="17"/>
                <w:szCs w:val="17"/>
              </w:rPr>
              <w:t>.</w:t>
            </w:r>
          </w:p>
          <w:p w14:paraId="295F845C" w14:textId="25B13CBB" w:rsidR="000D408E" w:rsidRPr="00EC2ED0" w:rsidRDefault="000D408E" w:rsidP="004C3E05">
            <w:pPr>
              <w:spacing w:line="360" w:lineRule="auto"/>
              <w:contextualSpacing/>
              <w:jc w:val="both"/>
              <w:textAlignment w:val="baseline"/>
              <w:rPr>
                <w:rFonts w:ascii="함초롬바탕" w:eastAsia="Gulim" w:hAnsi="Gulim" w:cs="Gulim"/>
                <w:color w:val="000000" w:themeColor="text1"/>
                <w:sz w:val="17"/>
                <w:szCs w:val="17"/>
              </w:rPr>
            </w:pPr>
            <w:r w:rsidRPr="00EC2ED0">
              <w:rPr>
                <w:rFonts w:eastAsia="함초롬바탕"/>
                <w:b/>
                <w:bCs/>
                <w:color w:val="000000" w:themeColor="text1"/>
                <w:sz w:val="17"/>
                <w:szCs w:val="17"/>
              </w:rPr>
              <w:t>Design/methodology/approach:</w:t>
            </w:r>
            <w:r w:rsidR="0042732F" w:rsidRPr="00EC2ED0">
              <w:rPr>
                <w:rFonts w:eastAsia="함초롬바탕"/>
                <w:b/>
                <w:bCs/>
                <w:color w:val="000000" w:themeColor="text1"/>
                <w:sz w:val="17"/>
                <w:szCs w:val="17"/>
              </w:rPr>
              <w:t xml:space="preserve"> </w:t>
            </w:r>
            <w:r w:rsidR="00A17E85" w:rsidRPr="00EC2ED0">
              <w:rPr>
                <w:rFonts w:eastAsia="KoPubWorld바탕체 Light"/>
                <w:i/>
                <w:iCs/>
                <w:color w:val="000000" w:themeColor="text1"/>
                <w:spacing w:val="-20"/>
                <w:w w:val="98"/>
                <w:sz w:val="17"/>
                <w:szCs w:val="17"/>
              </w:rPr>
              <w:t>A scale adaptation and validation design was implemented. Expert interviews were conducted to refine measurement items. A survey of 75 logistics managers was then administered. Hypotheses were tested using OLS regression. Mediation effects were assessed through bias-corrected bootstrap analysis with 5,000 resamples</w:t>
            </w:r>
            <w:r w:rsidR="0042732F" w:rsidRPr="00EC2ED0">
              <w:rPr>
                <w:rFonts w:eastAsia="KoPubWorld바탕체 Light"/>
                <w:i/>
                <w:iCs/>
                <w:color w:val="000000" w:themeColor="text1"/>
                <w:spacing w:val="-20"/>
                <w:w w:val="98"/>
                <w:sz w:val="17"/>
                <w:szCs w:val="17"/>
              </w:rPr>
              <w:t>.</w:t>
            </w:r>
          </w:p>
          <w:p w14:paraId="5065843A" w14:textId="5401FED0" w:rsidR="000D408E" w:rsidRPr="00EC2ED0" w:rsidRDefault="000D408E" w:rsidP="004C3E05">
            <w:pPr>
              <w:spacing w:line="360" w:lineRule="auto"/>
              <w:contextualSpacing/>
              <w:jc w:val="both"/>
              <w:textAlignment w:val="baseline"/>
              <w:rPr>
                <w:rFonts w:ascii="함초롬바탕" w:eastAsia="Gulim" w:hAnsi="Gulim" w:cs="Gulim"/>
                <w:i/>
                <w:iCs/>
                <w:color w:val="000000" w:themeColor="text1"/>
                <w:sz w:val="17"/>
                <w:szCs w:val="17"/>
              </w:rPr>
            </w:pPr>
            <w:r w:rsidRPr="00EC2ED0">
              <w:rPr>
                <w:rFonts w:eastAsia="함초롬바탕"/>
                <w:b/>
                <w:bCs/>
                <w:color w:val="000000" w:themeColor="text1"/>
                <w:sz w:val="17"/>
                <w:szCs w:val="17"/>
              </w:rPr>
              <w:t>Findings:</w:t>
            </w:r>
            <w:r w:rsidR="00B5747A" w:rsidRPr="00EC2ED0">
              <w:rPr>
                <w:rFonts w:eastAsia="함초롬바탕"/>
                <w:b/>
                <w:bCs/>
                <w:color w:val="000000" w:themeColor="text1"/>
                <w:sz w:val="17"/>
                <w:szCs w:val="17"/>
              </w:rPr>
              <w:t xml:space="preserve"> </w:t>
            </w:r>
            <w:r w:rsidR="009B5741" w:rsidRPr="00EC2ED0">
              <w:rPr>
                <w:rFonts w:eastAsia="KoPubWorld바탕체 Light"/>
                <w:i/>
                <w:iCs/>
                <w:color w:val="000000" w:themeColor="text1"/>
                <w:spacing w:val="-20"/>
                <w:w w:val="98"/>
                <w:sz w:val="17"/>
                <w:szCs w:val="17"/>
              </w:rPr>
              <w:t>The proposed model explains 78.8% of the variance in Customer Satisfaction. A full mediation structure is identified. Service Reliability operates as an antecedent condition. Its influence on Satisfaction is transmitted through Employee Competence and Documentation Efficiency. The direct path becomes statistically insignificant once mediators are introduced</w:t>
            </w:r>
            <w:r w:rsidR="00B5747A" w:rsidRPr="00EC2ED0">
              <w:rPr>
                <w:rFonts w:eastAsia="KoPubWorld바탕체 Light"/>
                <w:i/>
                <w:iCs/>
                <w:color w:val="000000" w:themeColor="text1"/>
                <w:spacing w:val="-20"/>
                <w:w w:val="98"/>
                <w:sz w:val="17"/>
                <w:szCs w:val="17"/>
              </w:rPr>
              <w:t>.</w:t>
            </w:r>
          </w:p>
          <w:p w14:paraId="618E97DC" w14:textId="447D4831" w:rsidR="000D408E" w:rsidRPr="00EC2ED0" w:rsidRDefault="000D408E" w:rsidP="004C3E05">
            <w:pPr>
              <w:spacing w:line="360" w:lineRule="auto"/>
              <w:contextualSpacing/>
              <w:jc w:val="both"/>
              <w:textAlignment w:val="baseline"/>
              <w:rPr>
                <w:rFonts w:ascii="함초롬바탕" w:eastAsia="Gulim" w:hAnsi="Gulim" w:cs="Gulim"/>
                <w:color w:val="000000" w:themeColor="text1"/>
                <w:sz w:val="17"/>
                <w:szCs w:val="17"/>
              </w:rPr>
            </w:pPr>
            <w:r w:rsidRPr="00EC2ED0">
              <w:rPr>
                <w:rFonts w:eastAsia="함초롬바탕"/>
                <w:b/>
                <w:bCs/>
                <w:color w:val="000000" w:themeColor="text1"/>
                <w:sz w:val="17"/>
                <w:szCs w:val="17"/>
              </w:rPr>
              <w:t>Research limitations/implications:</w:t>
            </w:r>
            <w:r w:rsidR="00CC2BEC" w:rsidRPr="00EC2ED0">
              <w:rPr>
                <w:rFonts w:eastAsia="함초롬바탕"/>
                <w:b/>
                <w:bCs/>
                <w:color w:val="000000" w:themeColor="text1"/>
                <w:sz w:val="17"/>
                <w:szCs w:val="17"/>
              </w:rPr>
              <w:t xml:space="preserve"> </w:t>
            </w:r>
            <w:r w:rsidR="00CC2BEC" w:rsidRPr="00EC2ED0">
              <w:rPr>
                <w:rFonts w:eastAsia="KoPubWorld바탕체 Light"/>
                <w:i/>
                <w:iCs/>
                <w:color w:val="000000" w:themeColor="text1"/>
                <w:spacing w:val="-20"/>
                <w:w w:val="98"/>
                <w:sz w:val="17"/>
                <w:szCs w:val="17"/>
              </w:rPr>
              <w:t>The sample size is modest (N = 75). Bootstrap procedures were applied to enhance estimation robustness. The findings suggest that logistics service providers should prioritize employee problem-solving capability and documentation precision rather than relying on static reliability positioning alone</w:t>
            </w:r>
            <w:r w:rsidR="001311A1" w:rsidRPr="00EC2ED0">
              <w:rPr>
                <w:rFonts w:eastAsia="KoPubWorld바탕체 Light"/>
                <w:i/>
                <w:iCs/>
                <w:color w:val="000000" w:themeColor="text1"/>
                <w:spacing w:val="-20"/>
                <w:w w:val="98"/>
                <w:sz w:val="17"/>
                <w:szCs w:val="17"/>
              </w:rPr>
              <w:t>.</w:t>
            </w:r>
          </w:p>
          <w:p w14:paraId="3664B740" w14:textId="25C4C3FB" w:rsidR="000D408E" w:rsidRPr="00EC2ED0" w:rsidRDefault="000D408E" w:rsidP="004C3E05">
            <w:pPr>
              <w:spacing w:line="360" w:lineRule="auto"/>
              <w:contextualSpacing/>
              <w:jc w:val="both"/>
              <w:textAlignment w:val="baseline"/>
              <w:rPr>
                <w:rFonts w:ascii="함초롬바탕" w:eastAsia="Gulim" w:hAnsi="Gulim" w:cs="Gulim"/>
                <w:color w:val="000000" w:themeColor="text1"/>
                <w:sz w:val="17"/>
                <w:szCs w:val="17"/>
              </w:rPr>
            </w:pPr>
            <w:r w:rsidRPr="00EC2ED0">
              <w:rPr>
                <w:rFonts w:eastAsia="함초롬바탕"/>
                <w:b/>
                <w:bCs/>
                <w:color w:val="000000" w:themeColor="text1"/>
                <w:sz w:val="17"/>
                <w:szCs w:val="17"/>
              </w:rPr>
              <w:t>Originality/value:</w:t>
            </w:r>
            <w:r w:rsidR="002B5CE4" w:rsidRPr="00EC2ED0">
              <w:rPr>
                <w:rFonts w:eastAsia="KoPubWorld바탕체 Light"/>
                <w:i/>
                <w:iCs/>
                <w:color w:val="000000" w:themeColor="text1"/>
                <w:spacing w:val="-20"/>
                <w:w w:val="98"/>
                <w:sz w:val="17"/>
                <w:szCs w:val="17"/>
              </w:rPr>
              <w:t xml:space="preserve"> This research empirically supports a process-based interpretation of Logistics Service Quality in an emerging economy context. Documentation Efficiency is established as a distinct execution construct. This dimension is often underemphasized in conventional LSQ models</w:t>
            </w:r>
          </w:p>
        </w:tc>
      </w:tr>
      <w:tr w:rsidR="00EC2ED0" w:rsidRPr="00EC2ED0" w14:paraId="6BDD968E" w14:textId="77777777" w:rsidTr="000D408E">
        <w:trPr>
          <w:trHeight w:val="20"/>
        </w:trPr>
        <w:tc>
          <w:tcPr>
            <w:tcW w:w="0" w:type="auto"/>
            <w:vMerge/>
            <w:tcBorders>
              <w:top w:val="nil"/>
              <w:left w:val="nil"/>
              <w:bottom w:val="single" w:sz="2" w:space="0" w:color="000000"/>
              <w:right w:val="nil"/>
            </w:tcBorders>
            <w:vAlign w:val="center"/>
            <w:hideMark/>
          </w:tcPr>
          <w:p w14:paraId="616B11AC" w14:textId="77777777" w:rsidR="000D408E" w:rsidRPr="00EC2ED0" w:rsidRDefault="000D408E" w:rsidP="000D408E">
            <w:pPr>
              <w:rPr>
                <w:rFonts w:ascii="함초롬바탕" w:eastAsia="Gulim" w:hAnsi="Gulim" w:cs="Gulim"/>
                <w:color w:val="000000" w:themeColor="text1"/>
                <w:szCs w:val="20"/>
              </w:rPr>
            </w:pPr>
          </w:p>
        </w:tc>
        <w:tc>
          <w:tcPr>
            <w:tcW w:w="7727" w:type="dxa"/>
            <w:gridSpan w:val="2"/>
            <w:tcBorders>
              <w:top w:val="single" w:sz="2" w:space="0" w:color="000000"/>
              <w:left w:val="nil"/>
              <w:bottom w:val="single" w:sz="2" w:space="0" w:color="000000"/>
              <w:right w:val="nil"/>
            </w:tcBorders>
            <w:tcMar>
              <w:top w:w="170" w:type="dxa"/>
              <w:left w:w="28" w:type="dxa"/>
              <w:bottom w:w="283" w:type="dxa"/>
              <w:right w:w="28" w:type="dxa"/>
            </w:tcMar>
            <w:hideMark/>
          </w:tcPr>
          <w:p w14:paraId="6391CFCB" w14:textId="3D772F61" w:rsidR="000D408E" w:rsidRPr="00EC2ED0" w:rsidRDefault="000D408E" w:rsidP="000D408E">
            <w:pPr>
              <w:spacing w:line="200" w:lineRule="exact"/>
              <w:textAlignment w:val="baseline"/>
              <w:rPr>
                <w:rFonts w:ascii="함초롬바탕" w:eastAsia="Gulim" w:hAnsi="Gulim" w:cs="Gulim"/>
                <w:color w:val="000000" w:themeColor="text1"/>
                <w:szCs w:val="20"/>
              </w:rPr>
            </w:pPr>
            <w:r w:rsidRPr="00EC2ED0">
              <w:rPr>
                <w:rFonts w:eastAsia="KoPubWorld바탕체 Light"/>
                <w:i/>
                <w:iCs/>
                <w:color w:val="000000" w:themeColor="text1"/>
                <w:spacing w:val="-20"/>
                <w:w w:val="98"/>
                <w:sz w:val="16"/>
                <w:szCs w:val="16"/>
              </w:rPr>
              <w:t xml:space="preserve">Keywords: </w:t>
            </w:r>
            <w:r w:rsidR="008B2E1D" w:rsidRPr="00EC2ED0">
              <w:rPr>
                <w:rFonts w:eastAsia="KoPubWorld바탕체 Light"/>
                <w:i/>
                <w:iCs/>
                <w:color w:val="000000" w:themeColor="text1"/>
                <w:spacing w:val="-20"/>
                <w:w w:val="98"/>
                <w:sz w:val="16"/>
                <w:szCs w:val="16"/>
              </w:rPr>
              <w:t>Logistics service quality; maritime FCL import; B2B customer satisfaction; mediation analysis; documentation efficiency</w:t>
            </w:r>
            <w:r w:rsidRPr="00EC2ED0">
              <w:rPr>
                <w:rFonts w:eastAsia="KoPubWorld바탕체 Light"/>
                <w:i/>
                <w:iCs/>
                <w:color w:val="000000" w:themeColor="text1"/>
                <w:spacing w:val="-20"/>
                <w:w w:val="98"/>
                <w:sz w:val="16"/>
                <w:szCs w:val="16"/>
              </w:rPr>
              <w:t xml:space="preserve"> </w:t>
            </w:r>
          </w:p>
        </w:tc>
      </w:tr>
    </w:tbl>
    <w:p w14:paraId="5F19C24C" w14:textId="77777777" w:rsidR="000D408E" w:rsidRPr="00EC2ED0" w:rsidRDefault="000D408E" w:rsidP="000D408E">
      <w:pPr>
        <w:pStyle w:val="a"/>
        <w:wordWrap/>
        <w:spacing w:line="264" w:lineRule="auto"/>
        <w:jc w:val="left"/>
        <w:rPr>
          <w:rFonts w:ascii="Times New Roman" w:eastAsia="휴먼명조" w:hAnsi="Times New Roman" w:cs="Times New Roman"/>
          <w:color w:val="000000" w:themeColor="text1"/>
          <w:sz w:val="24"/>
          <w:szCs w:val="24"/>
        </w:rPr>
        <w:sectPr w:rsidR="000D408E" w:rsidRPr="00EC2ED0" w:rsidSect="000D408E">
          <w:footerReference w:type="default" r:id="rId9"/>
          <w:type w:val="continuous"/>
          <w:pgSz w:w="10438" w:h="15122" w:code="7"/>
          <w:pgMar w:top="1021" w:right="1191" w:bottom="964" w:left="1191" w:header="567" w:footer="567" w:gutter="0"/>
          <w:cols w:space="425"/>
          <w:docGrid w:linePitch="360"/>
        </w:sectPr>
      </w:pPr>
    </w:p>
    <w:p w14:paraId="08738A81" w14:textId="41C1FDBA" w:rsidR="004A451D" w:rsidRPr="00EC2ED0" w:rsidRDefault="000D408E" w:rsidP="00474523">
      <w:pPr>
        <w:pStyle w:val="Heading1"/>
        <w:rPr>
          <w:color w:val="000000" w:themeColor="text1"/>
        </w:rPr>
      </w:pPr>
      <w:r w:rsidRPr="00EC2ED0">
        <w:rPr>
          <w:color w:val="000000" w:themeColor="text1"/>
        </w:rPr>
        <w:t xml:space="preserve">I. </w:t>
      </w:r>
      <w:r w:rsidR="00AA5C72" w:rsidRPr="00EC2ED0">
        <w:rPr>
          <w:color w:val="000000" w:themeColor="text1"/>
        </w:rPr>
        <w:t>Introduction</w:t>
      </w:r>
    </w:p>
    <w:p w14:paraId="62A1EB0C" w14:textId="087EBECC" w:rsidR="00FF7199" w:rsidRPr="00EC2ED0" w:rsidRDefault="00FF7199" w:rsidP="00217BFC">
      <w:pPr>
        <w:pStyle w:val="NoSpacing"/>
        <w:ind w:firstLine="0"/>
        <w:rPr>
          <w:color w:val="000000" w:themeColor="text1"/>
        </w:rPr>
      </w:pPr>
    </w:p>
    <w:p w14:paraId="5D19A59B" w14:textId="43C21A7B" w:rsidR="00FF7199" w:rsidRPr="00EC2ED0" w:rsidRDefault="007970C1" w:rsidP="00960FE8">
      <w:pPr>
        <w:pStyle w:val="NoSpacing"/>
        <w:rPr>
          <w:color w:val="000000" w:themeColor="text1"/>
        </w:rPr>
      </w:pPr>
      <w:r w:rsidRPr="00EC2ED0">
        <w:rPr>
          <w:color w:val="000000" w:themeColor="text1"/>
        </w:rPr>
        <w:t xml:space="preserve">Logistics service quality has been widely examined in business-to-business settings. Strong </w:t>
      </w:r>
      <w:r w:rsidRPr="00EC2ED0">
        <w:rPr>
          <w:color w:val="000000" w:themeColor="text1"/>
        </w:rPr>
        <w:t>associations between logistics service quality and customer satisfaction have been repeatedly documented (Mentzer et al., 2001; Stank et al., 2003).</w:t>
      </w:r>
      <w:r w:rsidR="00217BFC" w:rsidRPr="00EC2ED0">
        <w:rPr>
          <w:color w:val="000000" w:themeColor="text1"/>
        </w:rPr>
        <w:t xml:space="preserve"> </w:t>
      </w:r>
      <w:r w:rsidRPr="00EC2ED0">
        <w:rPr>
          <w:color w:val="000000" w:themeColor="text1"/>
        </w:rPr>
        <w:t xml:space="preserve">Reliability is often treated as a central dimension. </w:t>
      </w:r>
      <w:r w:rsidRPr="00EC2ED0">
        <w:rPr>
          <w:color w:val="000000" w:themeColor="text1"/>
        </w:rPr>
        <w:lastRenderedPageBreak/>
        <w:t>Direct effects between reliability and satisfaction are commonly specified (Le et al., 2020; Uvet, 2020).</w:t>
      </w:r>
      <w:r w:rsidR="00217BFC" w:rsidRPr="00EC2ED0">
        <w:rPr>
          <w:color w:val="000000" w:themeColor="text1"/>
        </w:rPr>
        <w:t xml:space="preserve"> </w:t>
      </w:r>
      <w:r w:rsidRPr="00EC2ED0">
        <w:rPr>
          <w:color w:val="000000" w:themeColor="text1"/>
        </w:rPr>
        <w:t>Therefore, a linear interpretation of service performance has become dominant. However, this interpretation assumes that reliability is directly observed by customers. That assumption becomes fragile in complex maritime logistics environments.</w:t>
      </w:r>
    </w:p>
    <w:p w14:paraId="24FE094D" w14:textId="77777777" w:rsidR="000C71C7" w:rsidRPr="00EC2ED0" w:rsidRDefault="000C71C7" w:rsidP="000C71C7">
      <w:pPr>
        <w:pStyle w:val="NoSpacing"/>
        <w:rPr>
          <w:color w:val="000000" w:themeColor="text1"/>
          <w:lang/>
        </w:rPr>
      </w:pPr>
      <w:r w:rsidRPr="00EC2ED0">
        <w:rPr>
          <w:color w:val="000000" w:themeColor="text1"/>
          <w:lang/>
        </w:rPr>
        <w:t>Maritime logistics is characterized by operational interdependence. Multiple actors are involved. Shipping lines, ports, customs authorities, and freight forwarders interact in sequential stages. Service delivery is therefore process-based rather than transaction-based. Reliability promises are made at the beginning. However, reliability is rarely experienced as an isolated outcome. Instead, it is enacted through execution practices during the service process. Consequently, the mechanism linking reliability and satisfaction remains insufficiently clarified in the LSQ literature (Fernandes et al., 2018; Kilibarda et al., 2020).</w:t>
      </w:r>
    </w:p>
    <w:p w14:paraId="6D01B955" w14:textId="77777777" w:rsidR="0044741D" w:rsidRPr="00EC2ED0" w:rsidRDefault="0044741D" w:rsidP="0044741D">
      <w:pPr>
        <w:pStyle w:val="NoSpacing"/>
        <w:rPr>
          <w:color w:val="000000" w:themeColor="text1"/>
          <w:lang/>
        </w:rPr>
      </w:pPr>
      <w:r w:rsidRPr="00EC2ED0">
        <w:rPr>
          <w:color w:val="000000" w:themeColor="text1"/>
          <w:lang/>
        </w:rPr>
        <w:t>Most prior studies concentrate on outcome attributes. Service dimensions are typically modeled as parallel predictors of satisfaction (Thai et al., 2021; Lin et al., 2023). Mediation mechanisms are rarely tested. Reliability is usually positioned as a direct antecedent. Therefore, the transformation process between service promise and customer evaluation is left unexplored. This conceptual gap becomes more visible under persistent uncertainty. Global logistics has entered a period of structural disruption. Schedule volatility, port congestion, and rerouting have become recurrent phenomena. Under such conditions, reliability cannot function as a simple performance indicator. It must be operationalized through concrete execution capability.</w:t>
      </w:r>
    </w:p>
    <w:p w14:paraId="2A79E714" w14:textId="001231B4" w:rsidR="0044741D" w:rsidRPr="00EC2ED0" w:rsidRDefault="0044741D" w:rsidP="0044741D">
      <w:pPr>
        <w:pStyle w:val="NoSpacing"/>
        <w:rPr>
          <w:color w:val="000000" w:themeColor="text1"/>
          <w:lang/>
        </w:rPr>
      </w:pPr>
      <w:r w:rsidRPr="00EC2ED0">
        <w:rPr>
          <w:color w:val="000000" w:themeColor="text1"/>
          <w:lang/>
        </w:rPr>
        <w:t xml:space="preserve">In maritime full container load import services, execution intensity is high. FCL imports involve high cargo value and regulatory exposure. Minor documentation errors may generate detention costs and clearance delays. For that reason, documentation efficiency becomes decisive for operational continuity (Sharma et al., 2024; Ruangtip et al., </w:t>
      </w:r>
      <w:r w:rsidRPr="00EC2ED0">
        <w:rPr>
          <w:color w:val="000000" w:themeColor="text1"/>
          <w:lang/>
        </w:rPr>
        <w:t>2024). Similarly, employee competence becomes critical during disruption events. Staff members interpret regulatory changes. Problems are coordinated and explained to customers. Therefore, competence functions as a stabilizing mechanism within the service process. These execution elements are acknowledged in previous research. However, they are often treated as independent attributes rather than mediating mechanisms (Fernandes et al., 2018).</w:t>
      </w:r>
    </w:p>
    <w:p w14:paraId="793F1486" w14:textId="1865317F" w:rsidR="0044741D" w:rsidRPr="00EC2ED0" w:rsidRDefault="0044741D" w:rsidP="0044741D">
      <w:pPr>
        <w:pStyle w:val="NoSpacing"/>
        <w:rPr>
          <w:color w:val="000000" w:themeColor="text1"/>
          <w:lang/>
        </w:rPr>
      </w:pPr>
      <w:r w:rsidRPr="00EC2ED0">
        <w:rPr>
          <w:color w:val="000000" w:themeColor="text1"/>
          <w:lang/>
        </w:rPr>
        <w:t>Vietnam has become an important manufacturing hub under global supply chain restructuring (Basu &amp; Ray, 2022; Dhar et al., 2023</w:t>
      </w:r>
      <w:r w:rsidR="002C6F16" w:rsidRPr="00EC2ED0">
        <w:rPr>
          <w:color w:val="000000" w:themeColor="text1"/>
          <w:lang/>
        </w:rPr>
        <w:t>; Vy et al., 2025</w:t>
      </w:r>
      <w:r w:rsidRPr="00EC2ED0">
        <w:rPr>
          <w:color w:val="000000" w:themeColor="text1"/>
          <w:lang/>
        </w:rPr>
        <w:t>). However, dependence on imported inputs remains high. Logistics shocks are therefore amplified at the domestic level. Institutional friction and infrastructural constraints are also present (Huynh et al., 2024; Dinh et al., 2025; Phan et al., 2025). Under such conditions, reliability commitments must be translated into credible execution practices. Customer evaluation is shaped by how disruptions are handled rather than by abstract promises. This dynamic is rarely examned in LSQ research conducted in relatively stable logistics systems.</w:t>
      </w:r>
    </w:p>
    <w:p w14:paraId="3733281B" w14:textId="6430FD31" w:rsidR="00BC6AA4" w:rsidRPr="00EC2ED0" w:rsidRDefault="0044741D" w:rsidP="00AD3825">
      <w:pPr>
        <w:pStyle w:val="NoSpacing"/>
        <w:rPr>
          <w:color w:val="000000" w:themeColor="text1"/>
          <w:lang/>
        </w:rPr>
      </w:pPr>
      <w:r w:rsidRPr="00EC2ED0">
        <w:rPr>
          <w:color w:val="000000" w:themeColor="text1"/>
          <w:lang/>
        </w:rPr>
        <w:t>Against this background, this study reconceptualizes the reliability-satisfaction relationship in maritime FCL import services. Reliability is positioned as an antecedent condition. Its influence is assumed to operate through employee competence and documentation efficiency. A process-based operational perspective is adopted. Mediation mechanisms are therefore explicitly tested.</w:t>
      </w:r>
      <w:r w:rsidR="000F7066" w:rsidRPr="00EC2ED0">
        <w:rPr>
          <w:color w:val="000000" w:themeColor="text1"/>
          <w:lang/>
        </w:rPr>
        <w:t xml:space="preserve"> </w:t>
      </w:r>
      <w:r w:rsidRPr="00EC2ED0">
        <w:rPr>
          <w:color w:val="000000" w:themeColor="text1"/>
          <w:lang/>
        </w:rPr>
        <w:t>Three contributions are offered. First, LSQ theory is extended by reframing reliability as a conditional driver rather than a direct predictor. Second, documentation efficiency is distinguished as a discrete execution mechanism within maritime logistics. Third, empirical evidence is provided from a developing economy characterized by regulatory complexity and structural uncertainty.</w:t>
      </w:r>
    </w:p>
    <w:p w14:paraId="3D3A9CC1" w14:textId="77777777" w:rsidR="004A451D" w:rsidRPr="00EC2ED0" w:rsidRDefault="004A451D" w:rsidP="000D408E">
      <w:pPr>
        <w:pStyle w:val="a"/>
        <w:spacing w:line="338" w:lineRule="auto"/>
        <w:textAlignment w:val="center"/>
        <w:rPr>
          <w:rFonts w:ascii="Times New Roman" w:hAnsi="Times New Roman" w:cs="Times New Roman"/>
          <w:color w:val="000000" w:themeColor="text1"/>
          <w:spacing w:val="-2"/>
          <w:w w:val="98"/>
          <w:sz w:val="24"/>
          <w:szCs w:val="24"/>
        </w:rPr>
      </w:pPr>
    </w:p>
    <w:p w14:paraId="0C9C6944" w14:textId="7D5D062C" w:rsidR="004A451D" w:rsidRPr="00EC2ED0" w:rsidRDefault="004A451D" w:rsidP="00D016C2">
      <w:pPr>
        <w:pStyle w:val="Heading1"/>
        <w:rPr>
          <w:color w:val="000000" w:themeColor="text1"/>
        </w:rPr>
      </w:pPr>
      <w:r w:rsidRPr="00EC2ED0">
        <w:rPr>
          <w:color w:val="000000" w:themeColor="text1"/>
        </w:rPr>
        <w:t xml:space="preserve">II. </w:t>
      </w:r>
      <w:r w:rsidR="00561BB5" w:rsidRPr="00EC2ED0">
        <w:rPr>
          <w:color w:val="000000" w:themeColor="text1"/>
        </w:rPr>
        <w:t>Literature review and Research gap</w:t>
      </w:r>
    </w:p>
    <w:p w14:paraId="677EFE50" w14:textId="77777777" w:rsidR="004A451D" w:rsidRPr="00EC2ED0" w:rsidRDefault="004A451D" w:rsidP="0014099B">
      <w:pPr>
        <w:pStyle w:val="a"/>
        <w:spacing w:line="360" w:lineRule="auto"/>
        <w:ind w:firstLine="200"/>
        <w:textAlignment w:val="center"/>
        <w:rPr>
          <w:rFonts w:ascii="Times New Roman" w:hAnsi="Times New Roman" w:cs="Times New Roman"/>
          <w:color w:val="000000" w:themeColor="text1"/>
          <w:spacing w:val="-2"/>
          <w:w w:val="98"/>
          <w:sz w:val="24"/>
          <w:szCs w:val="24"/>
        </w:rPr>
      </w:pPr>
    </w:p>
    <w:p w14:paraId="0DEF2E23" w14:textId="2A7B9358" w:rsidR="004A451D" w:rsidRPr="00EC2ED0" w:rsidRDefault="004A451D" w:rsidP="00884948">
      <w:pPr>
        <w:pStyle w:val="a"/>
        <w:wordWrap/>
        <w:spacing w:line="264" w:lineRule="auto"/>
        <w:ind w:left="268" w:hanging="268"/>
        <w:jc w:val="left"/>
        <w:outlineLvl w:val="1"/>
        <w:rPr>
          <w:color w:val="000000" w:themeColor="text1"/>
        </w:rPr>
      </w:pPr>
      <w:r w:rsidRPr="00EC2ED0">
        <w:rPr>
          <w:rStyle w:val="Heading2Char"/>
          <w:color w:val="000000" w:themeColor="text1"/>
        </w:rPr>
        <w:lastRenderedPageBreak/>
        <w:t xml:space="preserve">A. </w:t>
      </w:r>
      <w:r w:rsidR="0021004B" w:rsidRPr="00EC2ED0">
        <w:rPr>
          <w:rStyle w:val="Heading2Char"/>
          <w:color w:val="000000" w:themeColor="text1"/>
        </w:rPr>
        <w:t xml:space="preserve">Logistics </w:t>
      </w:r>
      <w:r w:rsidR="001C6D58" w:rsidRPr="00EC2ED0">
        <w:rPr>
          <w:rStyle w:val="Heading2Char"/>
          <w:color w:val="000000" w:themeColor="text1"/>
        </w:rPr>
        <w:t xml:space="preserve">service quality </w:t>
      </w:r>
      <w:r w:rsidR="0021004B" w:rsidRPr="00EC2ED0">
        <w:rPr>
          <w:rStyle w:val="Heading2Char"/>
          <w:color w:val="000000" w:themeColor="text1"/>
        </w:rPr>
        <w:t xml:space="preserve">and Customer </w:t>
      </w:r>
      <w:r w:rsidR="001C6D58" w:rsidRPr="00EC2ED0">
        <w:rPr>
          <w:rStyle w:val="Heading2Char"/>
          <w:color w:val="000000" w:themeColor="text1"/>
        </w:rPr>
        <w:t>satisfaction in maritime logistics</w:t>
      </w:r>
    </w:p>
    <w:p w14:paraId="2BC9BDD9" w14:textId="77777777" w:rsidR="004A451D" w:rsidRPr="00EC2ED0" w:rsidRDefault="004A451D" w:rsidP="004A451D">
      <w:pPr>
        <w:pStyle w:val="a"/>
        <w:spacing w:line="338" w:lineRule="auto"/>
        <w:ind w:firstLine="200"/>
        <w:textAlignment w:val="center"/>
        <w:rPr>
          <w:rFonts w:ascii="Times New Roman" w:hAnsi="Times New Roman" w:cs="Times New Roman"/>
          <w:color w:val="000000" w:themeColor="text1"/>
          <w:spacing w:val="-2"/>
          <w:w w:val="98"/>
          <w:sz w:val="24"/>
          <w:szCs w:val="24"/>
        </w:rPr>
      </w:pPr>
    </w:p>
    <w:p w14:paraId="0E7D99B1" w14:textId="4733ABD2" w:rsidR="00DD466A" w:rsidRPr="00EC2ED0" w:rsidRDefault="00DD466A" w:rsidP="00DD466A">
      <w:pPr>
        <w:pStyle w:val="a"/>
        <w:spacing w:line="338" w:lineRule="auto"/>
        <w:ind w:firstLine="200"/>
        <w:textAlignment w:val="center"/>
        <w:rPr>
          <w:rFonts w:ascii="Times New Roman" w:eastAsia="함초롬바탕" w:hAnsi="Times New Roman" w:cs="Times New Roman"/>
          <w:color w:val="000000" w:themeColor="text1"/>
          <w:spacing w:val="-4"/>
          <w:w w:val="98"/>
          <w:sz w:val="19"/>
          <w:szCs w:val="19"/>
          <w:lang/>
        </w:rPr>
      </w:pPr>
      <w:r w:rsidRPr="00EC2ED0">
        <w:rPr>
          <w:rFonts w:ascii="Times New Roman" w:eastAsia="함초롬바탕" w:hAnsi="Times New Roman" w:cs="Times New Roman"/>
          <w:color w:val="000000" w:themeColor="text1"/>
          <w:spacing w:val="-4"/>
          <w:w w:val="98"/>
          <w:sz w:val="19"/>
          <w:szCs w:val="19"/>
          <w:lang/>
        </w:rPr>
        <w:t>Research on logistics service quality has expanded substantially over the past two decades. Numerous studies have repeatedly shown that the quality of logistics services is closely associated with customer satisfaction in business-to-business contexts (Mentzer et al., 2001; Stank et al., 2003). This empirical linkage is widely accepted. Therefore, debate no longer concerns whether LSQ influences satisfaction. The more critical issue concerns how LSQ should be conceptually structured when service delivery becomes operationally complex.</w:t>
      </w:r>
    </w:p>
    <w:p w14:paraId="0C21FD97" w14:textId="33D73FB9" w:rsidR="00DD466A" w:rsidRPr="00EC2ED0" w:rsidRDefault="00DD466A" w:rsidP="00590194">
      <w:pPr>
        <w:pStyle w:val="a"/>
        <w:spacing w:line="338" w:lineRule="auto"/>
        <w:ind w:firstLine="200"/>
        <w:textAlignment w:val="center"/>
        <w:rPr>
          <w:rFonts w:ascii="Times New Roman" w:eastAsia="함초롬바탕" w:hAnsi="Times New Roman" w:cs="Times New Roman"/>
          <w:color w:val="000000" w:themeColor="text1"/>
          <w:spacing w:val="-4"/>
          <w:w w:val="98"/>
          <w:sz w:val="19"/>
          <w:szCs w:val="19"/>
          <w:lang/>
        </w:rPr>
      </w:pPr>
      <w:r w:rsidRPr="00EC2ED0">
        <w:rPr>
          <w:rFonts w:ascii="Times New Roman" w:eastAsia="함초롬바탕" w:hAnsi="Times New Roman" w:cs="Times New Roman"/>
          <w:color w:val="000000" w:themeColor="text1"/>
          <w:spacing w:val="-4"/>
          <w:w w:val="98"/>
          <w:sz w:val="19"/>
          <w:szCs w:val="19"/>
          <w:lang/>
        </w:rPr>
        <w:t>Within the logistics literature, service quality is most often discussed under the umbrella of LSQ. LSQ is typically described as a multidimensional concept that combines technical performance with functional execution (Mentzer et al., 2001). Unlike generic service quality frameworks, LSQ acknowledges that logistics services are process-based rather than purely transactional. Customers do not evaluate logistics services at a single moment. Instead, evaluations are gradually formed as service activities unfold across different stages and interactions (Kulyk et al., 2017; Zailani et al., 2018; Fernandes et al., 2018). This process orientation is clearly articulated at the conceptual level.</w:t>
      </w:r>
    </w:p>
    <w:p w14:paraId="16D9F7D0" w14:textId="138D4B31" w:rsidR="00DD466A" w:rsidRPr="00EC2ED0" w:rsidRDefault="00DD466A" w:rsidP="00286157">
      <w:pPr>
        <w:pStyle w:val="a"/>
        <w:spacing w:line="338" w:lineRule="auto"/>
        <w:ind w:firstLine="200"/>
        <w:textAlignment w:val="center"/>
        <w:rPr>
          <w:rFonts w:ascii="Times New Roman" w:eastAsia="함초롬바탕" w:hAnsi="Times New Roman" w:cs="Times New Roman"/>
          <w:color w:val="000000" w:themeColor="text1"/>
          <w:spacing w:val="-4"/>
          <w:w w:val="98"/>
          <w:sz w:val="19"/>
          <w:szCs w:val="19"/>
          <w:lang/>
        </w:rPr>
      </w:pPr>
      <w:r w:rsidRPr="00EC2ED0">
        <w:rPr>
          <w:rFonts w:ascii="Times New Roman" w:eastAsia="함초롬바탕" w:hAnsi="Times New Roman" w:cs="Times New Roman"/>
          <w:color w:val="000000" w:themeColor="text1"/>
          <w:spacing w:val="-4"/>
          <w:w w:val="98"/>
          <w:sz w:val="19"/>
          <w:szCs w:val="19"/>
          <w:lang/>
        </w:rPr>
        <w:t>Despite this process-oriented definition, a large part of the empirical LSQ literature relies on a simplified modelling logic. Service quality dimensions are commonly specified as direct antecedents of customer satisfaction (Zailani et al., 2018; Kilibarda et al., 2020). Reliability, responsiveness, and assurance are frequently positioned as parallel predictors. This practice assumes that customers perceive service attributes in a relatively clear and immedate manner. Such a configuration enhances statistical clarity. However, it reduces theoretical depth because the execution sequence is not explicitly modeled.</w:t>
      </w:r>
    </w:p>
    <w:p w14:paraId="7584EC18" w14:textId="1969D039" w:rsidR="004A451D" w:rsidRPr="00EC2ED0" w:rsidRDefault="00DD466A" w:rsidP="00BC6F0E">
      <w:pPr>
        <w:pStyle w:val="a"/>
        <w:spacing w:line="338" w:lineRule="auto"/>
        <w:ind w:firstLine="200"/>
        <w:textAlignment w:val="center"/>
        <w:rPr>
          <w:rFonts w:ascii="Times New Roman" w:eastAsia="함초롬바탕" w:hAnsi="Times New Roman" w:cs="Times New Roman"/>
          <w:color w:val="000000" w:themeColor="text1"/>
          <w:spacing w:val="-4"/>
          <w:w w:val="98"/>
          <w:sz w:val="19"/>
          <w:szCs w:val="19"/>
          <w:lang/>
        </w:rPr>
      </w:pPr>
      <w:r w:rsidRPr="00EC2ED0">
        <w:rPr>
          <w:rFonts w:ascii="Times New Roman" w:eastAsia="함초롬바탕" w:hAnsi="Times New Roman" w:cs="Times New Roman"/>
          <w:color w:val="000000" w:themeColor="text1"/>
          <w:spacing w:val="-4"/>
          <w:w w:val="98"/>
          <w:sz w:val="19"/>
          <w:szCs w:val="19"/>
          <w:lang/>
        </w:rPr>
        <w:t xml:space="preserve">In maritime logistics, service delivery is rarely transparent. Operations involve multiple organisations, </w:t>
      </w:r>
      <w:r w:rsidRPr="00EC2ED0">
        <w:rPr>
          <w:rFonts w:ascii="Times New Roman" w:eastAsia="함초롬바탕" w:hAnsi="Times New Roman" w:cs="Times New Roman"/>
          <w:color w:val="000000" w:themeColor="text1"/>
          <w:spacing w:val="-4"/>
          <w:w w:val="98"/>
          <w:sz w:val="19"/>
          <w:szCs w:val="19"/>
          <w:lang/>
        </w:rPr>
        <w:t>overlapping responsibilites, and fragmented information flows (Kilibarda et al., 2020). Customers do not directly observe most service activities. They infer service quality from how disruptions are communicated, how deviations are handled, and how commitments are maintained over time (Tontini et al., 2017). Under these conditions, customer satisfaction is not simply a reaction to isolated service attributes. It reflects an overall judgement of how the service process has been carried out. Therefore, the dominant direct-effect modeling logic appears conceptually incomplete in maritime environments. A process-based reinterpretation becomes necessary. Execution dynamics must be explicitly incorporated. Otherwise, the transformation between reliability commitments and customer evaluation remains theoretically underdeveloped.</w:t>
      </w:r>
    </w:p>
    <w:p w14:paraId="620D574E" w14:textId="77777777" w:rsidR="004A451D" w:rsidRPr="00EC2ED0" w:rsidRDefault="004A451D" w:rsidP="000D408E">
      <w:pPr>
        <w:pStyle w:val="a"/>
        <w:spacing w:line="338" w:lineRule="auto"/>
        <w:textAlignment w:val="center"/>
        <w:rPr>
          <w:rFonts w:ascii="Times New Roman" w:hAnsi="Times New Roman" w:cs="Times New Roman"/>
          <w:color w:val="000000" w:themeColor="text1"/>
          <w:spacing w:val="-2"/>
          <w:w w:val="98"/>
          <w:sz w:val="24"/>
          <w:szCs w:val="24"/>
        </w:rPr>
      </w:pPr>
    </w:p>
    <w:p w14:paraId="34DB3715" w14:textId="3A7B128E" w:rsidR="004A451D" w:rsidRPr="00EC2ED0" w:rsidRDefault="004A451D" w:rsidP="00612C4D">
      <w:pPr>
        <w:pStyle w:val="Heading2"/>
        <w:rPr>
          <w:color w:val="000000" w:themeColor="text1"/>
        </w:rPr>
      </w:pPr>
      <w:r w:rsidRPr="00EC2ED0">
        <w:rPr>
          <w:color w:val="000000" w:themeColor="text1"/>
        </w:rPr>
        <w:t xml:space="preserve">B. </w:t>
      </w:r>
      <w:r w:rsidR="00271C64" w:rsidRPr="00EC2ED0">
        <w:rPr>
          <w:color w:val="000000" w:themeColor="text1"/>
        </w:rPr>
        <w:t xml:space="preserve">Service </w:t>
      </w:r>
      <w:r w:rsidR="003D0C0E" w:rsidRPr="00EC2ED0">
        <w:rPr>
          <w:color w:val="000000" w:themeColor="text1"/>
        </w:rPr>
        <w:t>reliability as an initial service condition</w:t>
      </w:r>
    </w:p>
    <w:p w14:paraId="58DD021C" w14:textId="77777777" w:rsidR="004A451D" w:rsidRPr="00EC2ED0" w:rsidRDefault="004A451D" w:rsidP="004A451D">
      <w:pPr>
        <w:pStyle w:val="a"/>
        <w:spacing w:line="338" w:lineRule="auto"/>
        <w:ind w:firstLine="200"/>
        <w:textAlignment w:val="center"/>
        <w:rPr>
          <w:rFonts w:ascii="Times New Roman" w:hAnsi="Times New Roman" w:cs="Times New Roman"/>
          <w:color w:val="000000" w:themeColor="text1"/>
          <w:spacing w:val="-2"/>
          <w:w w:val="98"/>
          <w:sz w:val="24"/>
          <w:szCs w:val="24"/>
        </w:rPr>
      </w:pPr>
    </w:p>
    <w:p w14:paraId="299EE995" w14:textId="36B412B2" w:rsidR="001D3303" w:rsidRPr="00EC2ED0" w:rsidRDefault="001D3303" w:rsidP="001D3303">
      <w:pPr>
        <w:pStyle w:val="a"/>
        <w:spacing w:line="338" w:lineRule="auto"/>
        <w:ind w:firstLine="200"/>
        <w:textAlignment w:val="center"/>
        <w:rPr>
          <w:rFonts w:ascii="Times New Roman" w:eastAsia="함초롬바탕" w:hAnsi="Times New Roman" w:cs="Times New Roman"/>
          <w:color w:val="000000" w:themeColor="text1"/>
          <w:spacing w:val="-4"/>
          <w:w w:val="98"/>
          <w:sz w:val="19"/>
          <w:szCs w:val="19"/>
          <w:lang/>
        </w:rPr>
      </w:pPr>
      <w:r w:rsidRPr="00EC2ED0">
        <w:rPr>
          <w:rFonts w:ascii="Times New Roman" w:eastAsia="함초롬바탕" w:hAnsi="Times New Roman" w:cs="Times New Roman"/>
          <w:color w:val="000000" w:themeColor="text1"/>
          <w:spacing w:val="-4"/>
          <w:w w:val="98"/>
          <w:sz w:val="19"/>
          <w:szCs w:val="19"/>
          <w:lang/>
        </w:rPr>
        <w:t>Within the logistics service quality literature, Service reliability has repeatedly been identified as a central performance dimension (Kilibarda et al., 2020; Tontini et al., 2017). It is commonly understood as the ability of a logistics service provider to deliver services in accordance with promised schedules, quantities, and agreed procedures (Mentzer et al., 2001). Empirical studies across different logistics settings consistently report strong associations between Service reliability and favourable customer evaluations (Lin et al., 2023; Uvet, 2020; Zailani et al., 2018). As a result, Service reliability is often treated as a primary driver of customer satisfaction (Tontini et al., 2017).</w:t>
      </w:r>
    </w:p>
    <w:p w14:paraId="024C957E" w14:textId="2F504D59" w:rsidR="001D3303" w:rsidRPr="00EC2ED0" w:rsidRDefault="001D3303" w:rsidP="001D3303">
      <w:pPr>
        <w:pStyle w:val="a"/>
        <w:spacing w:line="338" w:lineRule="auto"/>
        <w:ind w:firstLine="200"/>
        <w:textAlignment w:val="center"/>
        <w:rPr>
          <w:rFonts w:ascii="Times New Roman" w:eastAsia="함초롬바탕" w:hAnsi="Times New Roman" w:cs="Times New Roman"/>
          <w:color w:val="000000" w:themeColor="text1"/>
          <w:spacing w:val="-4"/>
          <w:w w:val="98"/>
          <w:sz w:val="19"/>
          <w:szCs w:val="19"/>
          <w:lang/>
        </w:rPr>
      </w:pPr>
      <w:r w:rsidRPr="00EC2ED0">
        <w:rPr>
          <w:rFonts w:ascii="Times New Roman" w:eastAsia="함초롬바탕" w:hAnsi="Times New Roman" w:cs="Times New Roman"/>
          <w:color w:val="000000" w:themeColor="text1"/>
          <w:spacing w:val="-4"/>
          <w:w w:val="98"/>
          <w:sz w:val="19"/>
          <w:szCs w:val="19"/>
          <w:lang/>
        </w:rPr>
        <w:t xml:space="preserve">Despite this empirical consistency, the dominant interpretation remains conceptually narrow. This dominant treatment tends to oversimplify the role of Service reliability in complex logistics environments (Tontini et al., 2017). In many empirical models, Service reliability is positioned as a direct antecedent of Customer satisfaction (Lin et al., 2023; Uvet, 2020). Such a specification implies that reliability is </w:t>
      </w:r>
      <w:r w:rsidRPr="00EC2ED0">
        <w:rPr>
          <w:rFonts w:ascii="Times New Roman" w:eastAsia="함초롬바탕" w:hAnsi="Times New Roman" w:cs="Times New Roman"/>
          <w:color w:val="000000" w:themeColor="text1"/>
          <w:spacing w:val="-4"/>
          <w:w w:val="98"/>
          <w:sz w:val="19"/>
          <w:szCs w:val="19"/>
          <w:lang/>
        </w:rPr>
        <w:lastRenderedPageBreak/>
        <w:t>experienced by customers in a direct and observable manner. This assumption presumes performance transparency. In practice, this assumption is difficult to sustain, particularly in maritime logistics operations.</w:t>
      </w:r>
    </w:p>
    <w:p w14:paraId="26AA7FA1" w14:textId="56336399" w:rsidR="001D3303" w:rsidRPr="00EC2ED0" w:rsidRDefault="001D3303" w:rsidP="001D3303">
      <w:pPr>
        <w:pStyle w:val="a"/>
        <w:spacing w:line="338" w:lineRule="auto"/>
        <w:ind w:firstLine="200"/>
        <w:textAlignment w:val="center"/>
        <w:rPr>
          <w:rFonts w:ascii="Times New Roman" w:eastAsia="함초롬바탕" w:hAnsi="Times New Roman" w:cs="Times New Roman"/>
          <w:color w:val="000000" w:themeColor="text1"/>
          <w:spacing w:val="-4"/>
          <w:w w:val="98"/>
          <w:sz w:val="19"/>
          <w:szCs w:val="19"/>
          <w:lang/>
        </w:rPr>
      </w:pPr>
      <w:r w:rsidRPr="00EC2ED0">
        <w:rPr>
          <w:rFonts w:ascii="Times New Roman" w:eastAsia="함초롬바탕" w:hAnsi="Times New Roman" w:cs="Times New Roman"/>
          <w:color w:val="000000" w:themeColor="text1"/>
          <w:spacing w:val="-4"/>
          <w:w w:val="98"/>
          <w:sz w:val="19"/>
          <w:szCs w:val="19"/>
          <w:lang/>
        </w:rPr>
        <w:t>In maritime FCL import logistics, Service reliability functions less as an observable service outcome and more as an initial service condition (Tontini et al., 2017). Customers form expectations about reliability before service execution begins (Kułyk et al., 2017). These expectations are shaped by contractual commitments, prior service encounters, and communicated service promises (Kułyk et al., 2017). Once the service process is underway, customers rarely observe reliability itself. They observe how the service provider responds when deviations occur (Uvet, 2020; Zailani et al., 2018). Therefore, reliability operates as an expectation anchor rather than as a directly measurable outcome.</w:t>
      </w:r>
    </w:p>
    <w:p w14:paraId="6C206C6B" w14:textId="353DF574" w:rsidR="001D3303" w:rsidRPr="00EC2ED0" w:rsidRDefault="001D3303" w:rsidP="001D3303">
      <w:pPr>
        <w:pStyle w:val="a"/>
        <w:spacing w:line="338" w:lineRule="auto"/>
        <w:ind w:firstLine="200"/>
        <w:textAlignment w:val="center"/>
        <w:rPr>
          <w:rFonts w:ascii="Times New Roman" w:eastAsia="함초롬바탕" w:hAnsi="Times New Roman" w:cs="Times New Roman"/>
          <w:color w:val="000000" w:themeColor="text1"/>
          <w:spacing w:val="-4"/>
          <w:w w:val="98"/>
          <w:sz w:val="19"/>
          <w:szCs w:val="19"/>
          <w:lang/>
        </w:rPr>
      </w:pPr>
      <w:r w:rsidRPr="00EC2ED0">
        <w:rPr>
          <w:rFonts w:ascii="Times New Roman" w:eastAsia="함초롬바탕" w:hAnsi="Times New Roman" w:cs="Times New Roman"/>
          <w:color w:val="000000" w:themeColor="text1"/>
          <w:spacing w:val="-4"/>
          <w:w w:val="98"/>
          <w:sz w:val="19"/>
          <w:szCs w:val="19"/>
          <w:lang/>
        </w:rPr>
        <w:t>This distinction becomes critical under conditions of persistent disruption. Maritime logistics operations are affected by schedule changes, port congestion, regulatory inspections, and documentation constraints. Many of these factors remain outside the direct control of logistics service providers. Consequently, Service reliability cannot be delivered as a fixed attribute. It must be enacted through ongoing operational decisions and communication efforts (Fernandes et al., 2018; Uvet, 2020; Zailani et al., 2018). When reliability is challenged, its meaning is renegotiated during service execution rather than confirmed ex post (Fernandes et al., 2018; Tontini et al., 2017). Thus, reliability becomes dynamic rather than static.</w:t>
      </w:r>
    </w:p>
    <w:p w14:paraId="2876F173" w14:textId="5946E516" w:rsidR="001D3303" w:rsidRPr="00EC2ED0" w:rsidRDefault="001D3303" w:rsidP="00E630C3">
      <w:pPr>
        <w:pStyle w:val="a"/>
        <w:spacing w:line="338" w:lineRule="auto"/>
        <w:ind w:firstLine="200"/>
        <w:textAlignment w:val="center"/>
        <w:rPr>
          <w:rFonts w:ascii="Times New Roman" w:eastAsia="함초롬바탕" w:hAnsi="Times New Roman" w:cs="Times New Roman"/>
          <w:color w:val="000000" w:themeColor="text1"/>
          <w:spacing w:val="-4"/>
          <w:w w:val="98"/>
          <w:sz w:val="19"/>
          <w:szCs w:val="19"/>
          <w:lang/>
        </w:rPr>
      </w:pPr>
      <w:r w:rsidRPr="00EC2ED0">
        <w:rPr>
          <w:rFonts w:ascii="Times New Roman" w:eastAsia="함초롬바탕" w:hAnsi="Times New Roman" w:cs="Times New Roman"/>
          <w:color w:val="000000" w:themeColor="text1"/>
          <w:spacing w:val="-4"/>
          <w:w w:val="98"/>
          <w:sz w:val="19"/>
          <w:szCs w:val="19"/>
          <w:lang/>
        </w:rPr>
        <w:t xml:space="preserve">Existing LSQ studies acknowledge the importance of Service reliability but rarely examine how its effects are transmitted to Customer satisfaction (Kilibarda et al., 2020; Uvet, 2020). Reliability is often assumed to operate independently, without considering the mechanisms through which customers make sense of reliability-related performance (Fernandes et al., 2018; Tontini et al., 2017). This leaves an important aspect unexplained. Customers do not evaluate Service reliability in isolation (Tontini et al., 2017). They </w:t>
      </w:r>
      <w:r w:rsidRPr="00EC2ED0">
        <w:rPr>
          <w:rFonts w:ascii="Times New Roman" w:eastAsia="함초롬바탕" w:hAnsi="Times New Roman" w:cs="Times New Roman"/>
          <w:color w:val="000000" w:themeColor="text1"/>
          <w:spacing w:val="-4"/>
          <w:w w:val="98"/>
          <w:sz w:val="19"/>
          <w:szCs w:val="19"/>
          <w:lang/>
        </w:rPr>
        <w:t>evaluate whether reliability expectations are upheld through the way logistics activities are managed, adjusted, and explained over time (Uvet, 2020; Zailani et al., 2018).</w:t>
      </w:r>
    </w:p>
    <w:p w14:paraId="4910790A" w14:textId="19F35C92" w:rsidR="008F4687" w:rsidRPr="00EC2ED0" w:rsidRDefault="001D3303" w:rsidP="00466C28">
      <w:pPr>
        <w:pStyle w:val="a"/>
        <w:spacing w:line="338" w:lineRule="auto"/>
        <w:ind w:firstLine="200"/>
        <w:textAlignment w:val="center"/>
        <w:rPr>
          <w:rFonts w:ascii="Times New Roman" w:eastAsia="함초롬바탕" w:hAnsi="Times New Roman" w:cs="Times New Roman"/>
          <w:color w:val="000000" w:themeColor="text1"/>
          <w:spacing w:val="-4"/>
          <w:w w:val="98"/>
          <w:sz w:val="19"/>
          <w:szCs w:val="19"/>
          <w:lang/>
        </w:rPr>
      </w:pPr>
      <w:r w:rsidRPr="00EC2ED0">
        <w:rPr>
          <w:rFonts w:ascii="Times New Roman" w:eastAsia="함초롬바탕" w:hAnsi="Times New Roman" w:cs="Times New Roman"/>
          <w:color w:val="000000" w:themeColor="text1"/>
          <w:spacing w:val="-4"/>
          <w:w w:val="98"/>
          <w:sz w:val="19"/>
          <w:szCs w:val="19"/>
          <w:lang/>
        </w:rPr>
        <w:t>Viewed from this perspective, Service reliability initiates the service evaluation process but does not complete it (Tontini et al., 2017). Its influence on Customer satisfaction depends on how reliability promises are translated into concrete service actions during execution (Uvet, 2020; Zailani et al., 2018). Therefore, intermediary execution mechanisms must be incorporated into the analytical framework. This observation suggests that intermediary mechanisms are required to explain how Service reliability ultimately shapes customer satisfaction in maritime FCL import logistics (Fernandes et al., 2018).</w:t>
      </w:r>
    </w:p>
    <w:p w14:paraId="0498E24F" w14:textId="77777777" w:rsidR="004A451D" w:rsidRPr="00EC2ED0" w:rsidRDefault="004A451D" w:rsidP="00B0056B">
      <w:pPr>
        <w:pStyle w:val="a"/>
        <w:spacing w:line="338" w:lineRule="auto"/>
        <w:textAlignment w:val="center"/>
        <w:rPr>
          <w:rFonts w:ascii="Times New Roman" w:hAnsi="Times New Roman" w:cs="Times New Roman"/>
          <w:color w:val="000000" w:themeColor="text1"/>
          <w:spacing w:val="-2"/>
          <w:w w:val="98"/>
          <w:sz w:val="24"/>
          <w:szCs w:val="24"/>
        </w:rPr>
      </w:pPr>
    </w:p>
    <w:p w14:paraId="782E9E8D" w14:textId="554E15A8" w:rsidR="004A451D" w:rsidRPr="00EC2ED0" w:rsidRDefault="004A451D" w:rsidP="0045252A">
      <w:pPr>
        <w:pStyle w:val="Heading2"/>
        <w:rPr>
          <w:color w:val="000000" w:themeColor="text1"/>
        </w:rPr>
      </w:pPr>
      <w:r w:rsidRPr="00EC2ED0">
        <w:rPr>
          <w:color w:val="000000" w:themeColor="text1"/>
        </w:rPr>
        <w:t xml:space="preserve">C. </w:t>
      </w:r>
      <w:r w:rsidR="00B0056B" w:rsidRPr="00EC2ED0">
        <w:rPr>
          <w:color w:val="000000" w:themeColor="text1"/>
        </w:rPr>
        <w:t xml:space="preserve">Employee </w:t>
      </w:r>
      <w:r w:rsidR="00A56E4D" w:rsidRPr="00EC2ED0">
        <w:rPr>
          <w:color w:val="000000" w:themeColor="text1"/>
        </w:rPr>
        <w:t>c</w:t>
      </w:r>
      <w:r w:rsidR="00B0056B" w:rsidRPr="00EC2ED0">
        <w:rPr>
          <w:color w:val="000000" w:themeColor="text1"/>
        </w:rPr>
        <w:t xml:space="preserve">ompetence as a </w:t>
      </w:r>
      <w:r w:rsidR="000B5AF4" w:rsidRPr="00EC2ED0">
        <w:rPr>
          <w:color w:val="000000" w:themeColor="text1"/>
        </w:rPr>
        <w:t>m</w:t>
      </w:r>
      <w:r w:rsidR="00B0056B" w:rsidRPr="00EC2ED0">
        <w:rPr>
          <w:color w:val="000000" w:themeColor="text1"/>
        </w:rPr>
        <w:t xml:space="preserve">ediating </w:t>
      </w:r>
      <w:r w:rsidR="00A56E4D" w:rsidRPr="00EC2ED0">
        <w:rPr>
          <w:color w:val="000000" w:themeColor="text1"/>
        </w:rPr>
        <w:t>m</w:t>
      </w:r>
      <w:r w:rsidR="00B0056B" w:rsidRPr="00EC2ED0">
        <w:rPr>
          <w:color w:val="000000" w:themeColor="text1"/>
        </w:rPr>
        <w:t>echanism</w:t>
      </w:r>
    </w:p>
    <w:p w14:paraId="5ED685B4" w14:textId="5A17F73A" w:rsidR="000D408E" w:rsidRPr="00EC2ED0" w:rsidRDefault="000D408E" w:rsidP="00BE4E4B">
      <w:pPr>
        <w:pStyle w:val="a"/>
        <w:spacing w:line="338" w:lineRule="auto"/>
        <w:textAlignment w:val="center"/>
        <w:rPr>
          <w:rFonts w:ascii="Times New Roman" w:hAnsi="Times New Roman" w:cs="Times New Roman"/>
          <w:color w:val="000000" w:themeColor="text1"/>
          <w:spacing w:val="-2"/>
          <w:w w:val="98"/>
          <w:sz w:val="24"/>
          <w:szCs w:val="24"/>
        </w:rPr>
      </w:pPr>
    </w:p>
    <w:p w14:paraId="77E07AD8" w14:textId="71F864C6" w:rsidR="00BB2B10" w:rsidRPr="00EC2ED0" w:rsidRDefault="00BB2B10" w:rsidP="00BB2B1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Logistics services are inherently people-intensive. Service delivery is produced and consumed through interaction. Employees therefore act as the primary interface between provider and customer. Prior research confirms that employee-related attributes influence customer evaluation in complex service settings (Uvet, 2020; Gupta et al., 2022).</w:t>
      </w:r>
    </w:p>
    <w:p w14:paraId="12B16D39" w14:textId="4A72C0FA" w:rsidR="00BB2B10" w:rsidRPr="00EC2ED0" w:rsidRDefault="00BB2B10" w:rsidP="00BB2B1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In maritime logistics, employee competence refers to professional knowledge and problem-solving capacity (Tontini et al., 2017; Uvet, 2020). It also includes the ability to manage service disruptions. Employees interpret regulatory requirements. Coordination across multiple actors is performed. Service implications are communicated to customers (Magsi &amp; Siddiqui, 2025; Zailani et al., 2018). Such responsibilities rely on individual judgement rather than rigid procedures (Fernandes et al., 2018).</w:t>
      </w:r>
    </w:p>
    <w:p w14:paraId="162BBEBC" w14:textId="0E3DBFEB" w:rsidR="00BB2B10" w:rsidRPr="00EC2ED0" w:rsidRDefault="00BB2B10" w:rsidP="00BB2B1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 xml:space="preserve">Employee competence is often modeled as a direct predictor of Customer satisfaction (Lin et al., 2023; Magsi &amp; Siddiqui, 2025; Uvet, 2020). However, this treatment isolates competence from reliability dynamics (Zailani et al., 2018). In maritime FCL </w:t>
      </w:r>
      <w:r w:rsidRPr="00EC2ED0">
        <w:rPr>
          <w:rFonts w:ascii="Times New Roman" w:eastAsia="함초롬바탕" w:hAnsi="Times New Roman" w:cs="Times New Roman"/>
          <w:color w:val="000000" w:themeColor="text1"/>
          <w:spacing w:val="-2"/>
          <w:w w:val="98"/>
          <w:sz w:val="19"/>
          <w:szCs w:val="19"/>
          <w:lang/>
        </w:rPr>
        <w:lastRenderedPageBreak/>
        <w:t>import operations, competence becomes salient when Service reliability is challenged (Tontini et al., 2017; Uvet, 2020). Customers rarely evaluate competence independently. Instead, competence shapes how reliability is interpreted during operational deviations.</w:t>
      </w:r>
    </w:p>
    <w:p w14:paraId="5AFC8B39" w14:textId="2F62160E" w:rsidR="0045252A" w:rsidRPr="00EC2ED0" w:rsidRDefault="00BB2B10" w:rsidP="00BB2B1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Competent employees explain disruptions. Alternatives are proposed. Consequences are clarified (Zailani et al., 2018). Reliability expectations are therefore reframed through execution practice (Fernandes et al., 2018). Employee competence thus functions as a mediating mechanism that translates Service reliability into experienced service quality (Fernandes et al., 2018; Magsi &amp; Siddiqui, 2025). When competence is weak, reliability commitments quickly lose credibilty, even if final outcomes are acceptable.</w:t>
      </w:r>
    </w:p>
    <w:p w14:paraId="2575F0A9" w14:textId="77777777" w:rsidR="00B26B8D" w:rsidRPr="00EC2ED0" w:rsidRDefault="00B26B8D" w:rsidP="00B26B8D">
      <w:pPr>
        <w:pStyle w:val="a"/>
        <w:spacing w:line="338" w:lineRule="auto"/>
        <w:textAlignment w:val="center"/>
        <w:rPr>
          <w:rFonts w:ascii="Times New Roman" w:hAnsi="Times New Roman" w:cs="Times New Roman"/>
          <w:color w:val="000000" w:themeColor="text1"/>
          <w:spacing w:val="-2"/>
          <w:w w:val="98"/>
          <w:sz w:val="24"/>
          <w:szCs w:val="24"/>
        </w:rPr>
      </w:pPr>
    </w:p>
    <w:p w14:paraId="064CB436" w14:textId="134D7068" w:rsidR="00B26B8D" w:rsidRPr="00EC2ED0" w:rsidRDefault="00B26B8D" w:rsidP="006C5452">
      <w:pPr>
        <w:pStyle w:val="Heading2"/>
        <w:rPr>
          <w:color w:val="000000" w:themeColor="text1"/>
        </w:rPr>
      </w:pPr>
      <w:r w:rsidRPr="00EC2ED0">
        <w:rPr>
          <w:color w:val="000000" w:themeColor="text1"/>
        </w:rPr>
        <w:t xml:space="preserve">D. </w:t>
      </w:r>
      <w:r w:rsidR="00BF69F5" w:rsidRPr="00EC2ED0">
        <w:rPr>
          <w:color w:val="000000" w:themeColor="text1"/>
        </w:rPr>
        <w:t>Documentation efficiency as a mediating mechanism</w:t>
      </w:r>
    </w:p>
    <w:p w14:paraId="2B8591A0" w14:textId="77777777" w:rsidR="006A1844" w:rsidRPr="00EC2ED0" w:rsidRDefault="006A1844" w:rsidP="00EA75EE">
      <w:pPr>
        <w:pStyle w:val="a"/>
        <w:spacing w:line="338" w:lineRule="auto"/>
        <w:textAlignment w:val="center"/>
        <w:rPr>
          <w:rFonts w:ascii="Times New Roman" w:hAnsi="Times New Roman" w:cs="Times New Roman"/>
          <w:color w:val="000000" w:themeColor="text1"/>
          <w:sz w:val="24"/>
          <w:szCs w:val="24"/>
        </w:rPr>
      </w:pPr>
    </w:p>
    <w:p w14:paraId="08E4C61B" w14:textId="60BA8583" w:rsidR="00BB2B10" w:rsidRPr="00EC2ED0" w:rsidRDefault="00BB2B10" w:rsidP="00BB2B1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In maritime logistics, documentation forms a core element of service execution (Fernandes et al., 2018). Import procedures depend on the accuracy and timeliness of bills of lading, manifests, delivery orders, and customs declarations. Documentation errors may lead to clearance delays, financial penalties, and container detention (Uvet, 2020). For customers, these consequences are often more salient than transport performance itself (Fernandes et al., 2018).</w:t>
      </w:r>
    </w:p>
    <w:p w14:paraId="4B909D19" w14:textId="77777777" w:rsidR="00BB2B10" w:rsidRPr="00EC2ED0" w:rsidRDefault="00BB2B10" w:rsidP="00BB2B1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Documentation efficiency refers to the degree to which logistics documents are prepared and processed accurately and on time (Lin et al., 2023; Zailani et al., 2018). In FCL import operations, documentation is not merely administrative. It determines whether Service reliability commitments can be operationally realised (Fernandes et al., 2018; Kilibarda et al., 2020). Even when cargo arrives as scheduled, flawed documentation may disrupt downstream coordination and weaken customer confidence (Lin et al., 2023; Uvet, 2020).</w:t>
      </w:r>
    </w:p>
    <w:p w14:paraId="05E7B721" w14:textId="77777777" w:rsidR="00BB2B10" w:rsidRPr="00EC2ED0" w:rsidRDefault="00BB2B10" w:rsidP="00BB2B1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p>
    <w:p w14:paraId="4E28FA3A" w14:textId="502A7BA1" w:rsidR="00BB2B10" w:rsidRPr="00EC2ED0" w:rsidRDefault="00BB2B10" w:rsidP="00BB2B1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Existing LSQ research recognises the importance of information quality. However, documentation is often subsumed under broader dimensions such as responsiveness or assurance (Kilibarda et al., 2020; Mentzer et al., 2001). This aggregation reduces conceptual clarity. Customers do not assess documentation as an abstract feature. They evaluate whether documents enable smooth coordination with regulatory and operational actors (Fernandes et al., 2018).</w:t>
      </w:r>
    </w:p>
    <w:p w14:paraId="44DFD57F" w14:textId="08D5B086" w:rsidR="006C5452" w:rsidRPr="00EC2ED0" w:rsidRDefault="00BB2B10" w:rsidP="00BB2B1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When Service reliability is challenged, documentation efficiency becomes highly visible (Uvet, 2020). Inspections and procedural checks require precise documentation. Service continuity is therefore stabilised through documentation accuracy (Fernandes et al., 2018; Uvet, 2020). Inefficient documentation amplifies disruption and increases uncertainty. Documentation efficiency thus functions as a mediating mechanism that translates Service reliability expectations into Customer satisfaction (Fernandes et al., 2018; Uvet, 2020). When documentation quality deteriorates, reliability commitments lose perceved consistency.</w:t>
      </w:r>
    </w:p>
    <w:p w14:paraId="4B950B8A" w14:textId="77777777" w:rsidR="0067012D" w:rsidRPr="00EC2ED0" w:rsidRDefault="0067012D" w:rsidP="0067012D">
      <w:pPr>
        <w:pStyle w:val="a"/>
        <w:spacing w:line="338" w:lineRule="auto"/>
        <w:textAlignment w:val="center"/>
        <w:rPr>
          <w:rFonts w:ascii="Times New Roman" w:hAnsi="Times New Roman" w:cs="Times New Roman"/>
          <w:color w:val="000000" w:themeColor="text1"/>
          <w:spacing w:val="-2"/>
          <w:w w:val="98"/>
          <w:sz w:val="24"/>
          <w:szCs w:val="24"/>
        </w:rPr>
      </w:pPr>
    </w:p>
    <w:p w14:paraId="2FE89669" w14:textId="3BBB6E1F" w:rsidR="0067012D" w:rsidRPr="00EC2ED0" w:rsidRDefault="006C4493" w:rsidP="0067012D">
      <w:pPr>
        <w:pStyle w:val="Heading2"/>
        <w:rPr>
          <w:color w:val="000000" w:themeColor="text1"/>
        </w:rPr>
      </w:pPr>
      <w:r w:rsidRPr="00EC2ED0">
        <w:rPr>
          <w:color w:val="000000" w:themeColor="text1"/>
        </w:rPr>
        <w:t>E</w:t>
      </w:r>
      <w:r w:rsidR="0067012D" w:rsidRPr="00EC2ED0">
        <w:rPr>
          <w:color w:val="000000" w:themeColor="text1"/>
        </w:rPr>
        <w:t xml:space="preserve">. </w:t>
      </w:r>
      <w:r w:rsidRPr="00EC2ED0">
        <w:rPr>
          <w:color w:val="000000" w:themeColor="text1"/>
        </w:rPr>
        <w:t>Research gap</w:t>
      </w:r>
    </w:p>
    <w:p w14:paraId="08DF00F5" w14:textId="77777777" w:rsidR="0067012D" w:rsidRPr="00EC2ED0" w:rsidRDefault="0067012D" w:rsidP="0067012D">
      <w:pPr>
        <w:pStyle w:val="a"/>
        <w:spacing w:line="338" w:lineRule="auto"/>
        <w:textAlignment w:val="center"/>
        <w:rPr>
          <w:rFonts w:ascii="Times New Roman" w:hAnsi="Times New Roman" w:cs="Times New Roman"/>
          <w:color w:val="000000" w:themeColor="text1"/>
          <w:sz w:val="24"/>
          <w:szCs w:val="24"/>
        </w:rPr>
      </w:pPr>
    </w:p>
    <w:p w14:paraId="24671EB6" w14:textId="39BB20BE" w:rsidR="000F5E50" w:rsidRPr="00EC2ED0" w:rsidRDefault="000F5E50" w:rsidP="000F5E5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Extensive evidence confirms that logistics service quality is positively associated with customer satisfaction across logistics contexts (Kilibarda et al., 2020; Lin et al., 2023; Magsi &amp; Siddiqui, 2025). This linkage is widely accepted (Uvet, 2020). However, the structural mechanism underlying this relationship remains insufficiently clarified in maritime FCL import environments, where service delivery is shaped by uncertainty and fragmented execution (Kilibarda et al., 2020).</w:t>
      </w:r>
    </w:p>
    <w:p w14:paraId="05309D0B" w14:textId="5AE3E8F8" w:rsidR="000F5E50" w:rsidRPr="00EC2ED0" w:rsidRDefault="000F5E50" w:rsidP="000F5E5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 xml:space="preserve">A primary limitation concerns the conceptualization of Service reliability. Many studies position Service reliability as a direct antecedent of Customer satisfaction (Lin et al., 2023; Magsi &amp; Siddiqui, 2025; Uvet, 2020). This specification </w:t>
      </w:r>
      <w:r w:rsidRPr="00EC2ED0">
        <w:rPr>
          <w:rFonts w:ascii="Times New Roman" w:eastAsia="함초롬바탕" w:hAnsi="Times New Roman" w:cs="Times New Roman"/>
          <w:color w:val="000000" w:themeColor="text1"/>
          <w:spacing w:val="-2"/>
          <w:w w:val="98"/>
          <w:sz w:val="19"/>
          <w:szCs w:val="19"/>
          <w:lang/>
        </w:rPr>
        <w:lastRenderedPageBreak/>
        <w:t>assumes that reliability is directly experienced by customers. In maritime FCL import logistics, reliability expectations are typically formed before execution (Kułyk et al., 2017). Fulfilment is then negotiated during the service process (Uvet, 2020). The transformation between expectation and evaluation is therefore process-dependent. Yet this transmission mechanism remains underdeveloped in prior research (Fernandes et al., 2018).</w:t>
      </w:r>
    </w:p>
    <w:p w14:paraId="295D9C1D" w14:textId="746D6B06" w:rsidR="000F5E50" w:rsidRPr="00EC2ED0" w:rsidRDefault="000F5E50" w:rsidP="000F5E5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A second limitation relates to Employee competence and Documentation efficiency. These dimensions are recognised as important components of LSQ (Kilibarda et al., 2020; Mentzer et al., 2001). However, they are usually modeled as parallel predictors rather than as execution mechanisms (Lin et al., 2023; Uvet, 2020). Their mediating function in translating reliability commitments into experienced service quality is rarely examined. Consequently, the interpretive process through which customers assess reliability under disruption remains conceptually incomplete.</w:t>
      </w:r>
    </w:p>
    <w:p w14:paraId="788E9940" w14:textId="24AFCBD4" w:rsidR="000F5E50" w:rsidRPr="00EC2ED0" w:rsidRDefault="000F5E50" w:rsidP="000F5E5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Contextual constraints further intensify this limitation. Much LSQ research has been conducted in relatively stable logistics systems within developed economies (Kilibarda et al., 2020; Zailani et al., 2018). In emerging maritime markets, regulatory complexity and infrastructural friction are more visible. Service deviations occur more frequently. Execution mechanisms therefore become more salient in shaping customer judgement. Empirical evidence capturing these dynamics is still comparativly limited.</w:t>
      </w:r>
    </w:p>
    <w:p w14:paraId="53872215" w14:textId="5EF81B12" w:rsidR="001422D1" w:rsidRPr="00EC2ED0" w:rsidRDefault="000F5E50" w:rsidP="000F5E5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Taken together, these limitations indicate the need for a process-based LSQ framework. Greater attention must be given to how Service reliability influences Customer satisfaction through execution mechanisms. Specifically, Employee competence and Documentation efficiency should be examined as mediating variables within an integrated analytical structure.</w:t>
      </w:r>
    </w:p>
    <w:p w14:paraId="07695D5B" w14:textId="77777777" w:rsidR="001422D1" w:rsidRPr="00EC2ED0" w:rsidRDefault="001422D1" w:rsidP="00281A3C">
      <w:pPr>
        <w:pStyle w:val="a"/>
        <w:spacing w:line="338" w:lineRule="auto"/>
        <w:ind w:firstLine="200"/>
        <w:textAlignment w:val="center"/>
        <w:rPr>
          <w:rFonts w:ascii="Times New Roman" w:eastAsia="함초롬바탕" w:hAnsi="Times New Roman" w:cs="Times New Roman"/>
          <w:color w:val="000000" w:themeColor="text1"/>
          <w:spacing w:val="-2"/>
          <w:w w:val="98"/>
          <w:sz w:val="24"/>
          <w:szCs w:val="24"/>
        </w:rPr>
      </w:pPr>
    </w:p>
    <w:p w14:paraId="0B5EBB63" w14:textId="74AF5C58" w:rsidR="00961151" w:rsidRPr="00EC2ED0" w:rsidRDefault="004A3F06" w:rsidP="004A3F06">
      <w:pPr>
        <w:pStyle w:val="Heading1"/>
        <w:ind w:left="0" w:firstLine="0"/>
        <w:rPr>
          <w:color w:val="000000" w:themeColor="text1"/>
          <w:w w:val="98"/>
        </w:rPr>
      </w:pPr>
      <w:r w:rsidRPr="00EC2ED0">
        <w:rPr>
          <w:color w:val="000000" w:themeColor="text1"/>
          <w:w w:val="98"/>
        </w:rPr>
        <w:t xml:space="preserve">III. </w:t>
      </w:r>
      <w:r w:rsidR="00CD5F73" w:rsidRPr="00EC2ED0">
        <w:rPr>
          <w:color w:val="000000" w:themeColor="text1"/>
          <w:w w:val="98"/>
        </w:rPr>
        <w:t xml:space="preserve">Theoretical framework and </w:t>
      </w:r>
      <w:r w:rsidR="00CD5F73" w:rsidRPr="00EC2ED0">
        <w:rPr>
          <w:color w:val="000000" w:themeColor="text1"/>
          <w:w w:val="98"/>
        </w:rPr>
        <w:t>hypothesis development</w:t>
      </w:r>
    </w:p>
    <w:p w14:paraId="13F91D50" w14:textId="7F4AC5BA" w:rsidR="00CD5F73" w:rsidRPr="00EC2ED0" w:rsidRDefault="00CD5F73" w:rsidP="00477C10">
      <w:pPr>
        <w:pStyle w:val="a"/>
        <w:spacing w:line="360" w:lineRule="auto"/>
        <w:textAlignment w:val="center"/>
        <w:rPr>
          <w:rFonts w:ascii="Times New Roman" w:eastAsia="함초롬바탕" w:hAnsi="Times New Roman" w:cs="Times New Roman"/>
          <w:color w:val="000000" w:themeColor="text1"/>
          <w:spacing w:val="-2"/>
          <w:w w:val="98"/>
          <w:sz w:val="24"/>
          <w:szCs w:val="24"/>
        </w:rPr>
      </w:pPr>
    </w:p>
    <w:p w14:paraId="4813C0DC" w14:textId="708D4D7A" w:rsidR="003828B8" w:rsidRPr="00EC2ED0" w:rsidRDefault="00246C54" w:rsidP="00830DF4">
      <w:pPr>
        <w:pStyle w:val="Heading2"/>
        <w:rPr>
          <w:color w:val="000000" w:themeColor="text1"/>
          <w:w w:val="98"/>
        </w:rPr>
      </w:pPr>
      <w:r w:rsidRPr="00EC2ED0">
        <w:rPr>
          <w:color w:val="000000" w:themeColor="text1"/>
          <w:w w:val="98"/>
        </w:rPr>
        <w:t>A.</w:t>
      </w:r>
      <w:r w:rsidR="00EA7A13" w:rsidRPr="00EC2ED0">
        <w:rPr>
          <w:color w:val="000000" w:themeColor="text1"/>
          <w:w w:val="98"/>
        </w:rPr>
        <w:t xml:space="preserve"> </w:t>
      </w:r>
      <w:r w:rsidR="0051754A" w:rsidRPr="00EC2ED0">
        <w:rPr>
          <w:color w:val="000000" w:themeColor="text1"/>
          <w:w w:val="98"/>
        </w:rPr>
        <w:t>Theoretical framework</w:t>
      </w:r>
    </w:p>
    <w:p w14:paraId="4F0276C3" w14:textId="77777777" w:rsidR="00FD38D0" w:rsidRPr="00EC2ED0" w:rsidRDefault="00FD38D0" w:rsidP="002D7BBA">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p>
    <w:p w14:paraId="5874F29F" w14:textId="3CE241C8" w:rsidR="0035132E" w:rsidRPr="00EC2ED0" w:rsidRDefault="0035132E" w:rsidP="002D7BBA">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This study adopts a process-based view of logistics services. Service quality is treated as a dynamic outcome of execution rather than as a fixed attribute. In maritime logistics, services are delivered through sequential operational and informational activities. Customers therefore evaluate how promises are enacted over time rather than isolated features.</w:t>
      </w:r>
    </w:p>
    <w:p w14:paraId="44278385" w14:textId="698A8C41" w:rsidR="0035132E" w:rsidRPr="00EC2ED0" w:rsidRDefault="0035132E" w:rsidP="002D7BBA">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Mentzer et al. (2001) argue that logistics service quality is shaped through coordinated actions rather than single events. Evaluation develops as execution progresses. This interpretation fits maritime logistics, where multi-actor coordination occurs under uncertainty.</w:t>
      </w:r>
    </w:p>
    <w:p w14:paraId="3E5CFF3B" w14:textId="0B04C44B" w:rsidR="0035132E" w:rsidRPr="00EC2ED0" w:rsidRDefault="0035132E" w:rsidP="002D7BBA">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Service reliability is conceptualised as an initial promise. It reflects commitment to schedules and procedures. Expectations are formed before execution begins. However, fulfilment is negotiated during service delivery. Thus, reliability initiates evaluation but does not determine satisfaction independently.</w:t>
      </w:r>
    </w:p>
    <w:p w14:paraId="0A663487" w14:textId="7FDAE15E" w:rsidR="0035132E" w:rsidRPr="00EC2ED0" w:rsidRDefault="0035132E" w:rsidP="002D7BBA">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Execution quality shapes how reliability is perceived. Employee competence enables coordination and interpretation during disruptions. Documentation efficiency ensures procedural continuity and regulatory compliance. Execution capability is therefore operationalised through human judgement and document accuracy.</w:t>
      </w:r>
    </w:p>
    <w:p w14:paraId="45081EBD" w14:textId="69230745" w:rsidR="0035132E" w:rsidRPr="00EC2ED0" w:rsidRDefault="0035132E" w:rsidP="002D7BBA">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When execution mechanisms are strong, reliability appears credible. When execution weakens, credibility declines. Customer satisfaction is formed after execution. It reflects whether expectations are met through experienced performance.</w:t>
      </w:r>
    </w:p>
    <w:p w14:paraId="3C2E27BD" w14:textId="56F8F469" w:rsidR="00FD1B9C" w:rsidRPr="00EC2ED0" w:rsidRDefault="0035132E" w:rsidP="0035132E">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 xml:space="preserve">Taken together, maritime logistics service quality is conceptualised as a transformation sequence. Reliability initiates expectations. Execution mechanisms enact commitments. Satisfaction </w:t>
      </w:r>
      <w:r w:rsidRPr="00EC2ED0">
        <w:rPr>
          <w:rFonts w:ascii="Times New Roman" w:eastAsia="함초롬바탕" w:hAnsi="Times New Roman" w:cs="Times New Roman"/>
          <w:color w:val="000000" w:themeColor="text1"/>
          <w:spacing w:val="-2"/>
          <w:w w:val="98"/>
          <w:sz w:val="19"/>
          <w:szCs w:val="19"/>
          <w:lang/>
        </w:rPr>
        <w:lastRenderedPageBreak/>
        <w:t>emerges from this evaluative process. This logic provides the analytical foundation for hypothesis development.</w:t>
      </w:r>
    </w:p>
    <w:p w14:paraId="35B9653B" w14:textId="3B3921C9" w:rsidR="001020CD" w:rsidRPr="00EC2ED0" w:rsidRDefault="001020CD" w:rsidP="0006058D">
      <w:pPr>
        <w:pStyle w:val="a"/>
        <w:spacing w:line="338" w:lineRule="auto"/>
        <w:textAlignment w:val="center"/>
        <w:rPr>
          <w:rFonts w:ascii="Times New Roman" w:eastAsia="함초롬바탕" w:hAnsi="Times New Roman" w:cs="Times New Roman"/>
          <w:color w:val="000000" w:themeColor="text1"/>
          <w:spacing w:val="-2"/>
          <w:w w:val="98"/>
          <w:sz w:val="19"/>
          <w:szCs w:val="19"/>
          <w:lang/>
        </w:rPr>
      </w:pPr>
    </w:p>
    <w:p w14:paraId="419DFC7F" w14:textId="77777777" w:rsidR="00FD38D0" w:rsidRPr="00EC2ED0" w:rsidRDefault="00FD38D0" w:rsidP="0006058D">
      <w:pPr>
        <w:pStyle w:val="Heading2"/>
        <w:rPr>
          <w:color w:val="000000" w:themeColor="text1"/>
          <w:w w:val="98"/>
        </w:rPr>
      </w:pPr>
      <w:r w:rsidRPr="00EC2ED0">
        <w:rPr>
          <w:color w:val="000000" w:themeColor="text1"/>
          <w:w w:val="98"/>
        </w:rPr>
        <w:t>B. Service Reliability and Customer Satisfaction</w:t>
      </w:r>
    </w:p>
    <w:p w14:paraId="64EC6CB3" w14:textId="77777777" w:rsidR="00FD38D0" w:rsidRPr="00EC2ED0" w:rsidRDefault="00FD38D0" w:rsidP="00FD38D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p>
    <w:p w14:paraId="3D817006" w14:textId="7B753E1C" w:rsidR="00FD38D0" w:rsidRPr="00EC2ED0" w:rsidRDefault="00FD38D0" w:rsidP="00333CDC">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color w:val="000000" w:themeColor="text1"/>
          <w:spacing w:val="-2"/>
          <w:w w:val="98"/>
          <w:sz w:val="19"/>
          <w:szCs w:val="19"/>
        </w:rPr>
        <w:t>Service reliability sets the evaluative tone in FCL import services. Customers begin with a basic concern. They ask whether commitments will be honored. If reliability appears weak, satisfaction declines quickly. If reliability appears credible, tension is reduced. Evaluation becomes more stable. Reliability therefore behaves as a must-be factor rather than as an excitement factor (Tontini et al., 2017). This interpretation is consistent with logistics research showing that reliability stabilizes judgement rather than generating enthusiasm (Uvet, 2020; Kilibarda et al., 2020).</w:t>
      </w:r>
    </w:p>
    <w:p w14:paraId="612B6086" w14:textId="5BDCBC7E" w:rsidR="00FD38D0" w:rsidRPr="00EC2ED0" w:rsidRDefault="00FD38D0" w:rsidP="00333CDC">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color w:val="000000" w:themeColor="text1"/>
          <w:spacing w:val="-2"/>
          <w:w w:val="98"/>
          <w:sz w:val="19"/>
          <w:szCs w:val="19"/>
        </w:rPr>
        <w:t>Accordingly, a direct association is first examined:</w:t>
      </w:r>
    </w:p>
    <w:p w14:paraId="5822EC0A" w14:textId="77777777" w:rsidR="00FD38D0" w:rsidRPr="00EC2ED0" w:rsidRDefault="00FD38D0" w:rsidP="00FD38D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b/>
          <w:bCs/>
          <w:color w:val="000000" w:themeColor="text1"/>
          <w:spacing w:val="-2"/>
          <w:w w:val="98"/>
          <w:sz w:val="19"/>
          <w:szCs w:val="19"/>
        </w:rPr>
        <w:t>H1:</w:t>
      </w:r>
      <w:r w:rsidRPr="00EC2ED0">
        <w:rPr>
          <w:rFonts w:ascii="Times New Roman" w:eastAsia="함초롬바탕" w:hAnsi="Times New Roman" w:cs="Times New Roman"/>
          <w:color w:val="000000" w:themeColor="text1"/>
          <w:spacing w:val="-2"/>
          <w:w w:val="98"/>
          <w:sz w:val="19"/>
          <w:szCs w:val="19"/>
        </w:rPr>
        <w:t xml:space="preserve"> Service Reliability (RE) positively influences Customer Satisfaction (SAT).</w:t>
      </w:r>
    </w:p>
    <w:p w14:paraId="4EC62309" w14:textId="1D571E67" w:rsidR="00FD38D0" w:rsidRPr="00EC2ED0" w:rsidRDefault="00FD38D0" w:rsidP="00FD38D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p>
    <w:p w14:paraId="223ADD39" w14:textId="77777777" w:rsidR="00FD38D0" w:rsidRPr="00EC2ED0" w:rsidRDefault="00FD38D0" w:rsidP="003603BA">
      <w:pPr>
        <w:pStyle w:val="Heading2"/>
        <w:rPr>
          <w:color w:val="000000" w:themeColor="text1"/>
          <w:w w:val="98"/>
        </w:rPr>
      </w:pPr>
      <w:r w:rsidRPr="00EC2ED0">
        <w:rPr>
          <w:color w:val="000000" w:themeColor="text1"/>
          <w:w w:val="98"/>
        </w:rPr>
        <w:t>C. Service Reliability and Employee Competence</w:t>
      </w:r>
    </w:p>
    <w:p w14:paraId="47459C16" w14:textId="77777777" w:rsidR="00FD38D0" w:rsidRPr="00EC2ED0" w:rsidRDefault="00FD38D0" w:rsidP="00FD38D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p>
    <w:p w14:paraId="1607CB46" w14:textId="05CE7EE9" w:rsidR="00FD38D0" w:rsidRPr="00EC2ED0" w:rsidRDefault="00FD38D0" w:rsidP="0074325E">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color w:val="000000" w:themeColor="text1"/>
          <w:spacing w:val="-2"/>
          <w:w w:val="98"/>
          <w:sz w:val="19"/>
          <w:szCs w:val="19"/>
        </w:rPr>
        <w:t>Service reliability does not operate independently. When schedules shift or procedures change, operational pressure moves toward personnel. In FCL import logistics, reliability expectations increase demands on employees. Customers expect explanations and coordination when deviations occur. Reliability commitments must therefore be enacted through human action.</w:t>
      </w:r>
    </w:p>
    <w:p w14:paraId="727BD6ED" w14:textId="03CA12CA" w:rsidR="00FD38D0" w:rsidRPr="00EC2ED0" w:rsidRDefault="00FD38D0" w:rsidP="00300BC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color w:val="000000" w:themeColor="text1"/>
          <w:spacing w:val="-2"/>
          <w:w w:val="98"/>
          <w:sz w:val="19"/>
          <w:szCs w:val="19"/>
        </w:rPr>
        <w:t>Prior logistics studies indicate that reliability often increases the need for human intervention (Uvet, 2020). Employees are responsible for maintaining credibility during execution. This dynamic becomes stronger under uncertainty, where customers rely on staff to interpret ongoing events (Zailani et al., 2018).</w:t>
      </w:r>
      <w:r w:rsidR="00300BC0" w:rsidRPr="00EC2ED0">
        <w:rPr>
          <w:rFonts w:ascii="Times New Roman" w:eastAsia="함초롬바탕" w:hAnsi="Times New Roman" w:cs="Times New Roman"/>
          <w:color w:val="000000" w:themeColor="text1"/>
          <w:spacing w:val="-2"/>
          <w:w w:val="98"/>
          <w:sz w:val="19"/>
          <w:szCs w:val="19"/>
        </w:rPr>
        <w:t xml:space="preserve"> </w:t>
      </w:r>
      <w:r w:rsidRPr="00EC2ED0">
        <w:rPr>
          <w:rFonts w:ascii="Times New Roman" w:eastAsia="함초롬바탕" w:hAnsi="Times New Roman" w:cs="Times New Roman"/>
          <w:color w:val="000000" w:themeColor="text1"/>
          <w:spacing w:val="-2"/>
          <w:w w:val="98"/>
          <w:sz w:val="19"/>
          <w:szCs w:val="19"/>
        </w:rPr>
        <w:t>This leads to the following path hypothesis:</w:t>
      </w:r>
    </w:p>
    <w:p w14:paraId="2869E2A7" w14:textId="304A0A39" w:rsidR="00FD38D0" w:rsidRPr="00EC2ED0" w:rsidRDefault="00FD38D0" w:rsidP="00300BC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b/>
          <w:bCs/>
          <w:color w:val="000000" w:themeColor="text1"/>
          <w:spacing w:val="-2"/>
          <w:w w:val="98"/>
          <w:sz w:val="19"/>
          <w:szCs w:val="19"/>
        </w:rPr>
        <w:t>H2 (a₁ path):</w:t>
      </w:r>
      <w:r w:rsidRPr="00EC2ED0">
        <w:rPr>
          <w:rFonts w:ascii="Times New Roman" w:eastAsia="함초롬바탕" w:hAnsi="Times New Roman" w:cs="Times New Roman"/>
          <w:color w:val="000000" w:themeColor="text1"/>
          <w:spacing w:val="-2"/>
          <w:w w:val="98"/>
          <w:sz w:val="19"/>
          <w:szCs w:val="19"/>
        </w:rPr>
        <w:t xml:space="preserve"> Service Reliability (RE) positively </w:t>
      </w:r>
      <w:r w:rsidRPr="00EC2ED0">
        <w:rPr>
          <w:rFonts w:ascii="Times New Roman" w:eastAsia="함초롬바탕" w:hAnsi="Times New Roman" w:cs="Times New Roman"/>
          <w:color w:val="000000" w:themeColor="text1"/>
          <w:spacing w:val="-2"/>
          <w:w w:val="98"/>
          <w:sz w:val="19"/>
          <w:szCs w:val="19"/>
        </w:rPr>
        <w:t>influences Employee Competence (EMP).</w:t>
      </w:r>
    </w:p>
    <w:p w14:paraId="5C6BA284" w14:textId="668B4811" w:rsidR="00FD38D0" w:rsidRPr="00EC2ED0" w:rsidRDefault="00FD38D0" w:rsidP="00300BC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color w:val="000000" w:themeColor="text1"/>
          <w:spacing w:val="-2"/>
          <w:w w:val="98"/>
          <w:sz w:val="19"/>
          <w:szCs w:val="19"/>
        </w:rPr>
        <w:t>Employee competence then shapes customer evaluation. When competent responses are provided, disruptions are interpreted as manageable rather than chaotic. Prior research confirms that employee capability strongly affects customer judgement in uncertain logistics settings (Uvet, 2020; Fernandes et al., 2018).</w:t>
      </w:r>
      <w:r w:rsidR="00300BC0" w:rsidRPr="00EC2ED0">
        <w:rPr>
          <w:rFonts w:ascii="Times New Roman" w:eastAsia="함초롬바탕" w:hAnsi="Times New Roman" w:cs="Times New Roman"/>
          <w:color w:val="000000" w:themeColor="text1"/>
          <w:spacing w:val="-2"/>
          <w:w w:val="98"/>
          <w:sz w:val="19"/>
          <w:szCs w:val="19"/>
        </w:rPr>
        <w:t xml:space="preserve"> </w:t>
      </w:r>
      <w:r w:rsidRPr="00EC2ED0">
        <w:rPr>
          <w:rFonts w:ascii="Times New Roman" w:eastAsia="함초롬바탕" w:hAnsi="Times New Roman" w:cs="Times New Roman"/>
          <w:color w:val="000000" w:themeColor="text1"/>
          <w:spacing w:val="-2"/>
          <w:w w:val="98"/>
          <w:sz w:val="19"/>
          <w:szCs w:val="19"/>
        </w:rPr>
        <w:t>Thus:</w:t>
      </w:r>
    </w:p>
    <w:p w14:paraId="33DE12BF" w14:textId="237703C7" w:rsidR="00FD38D0" w:rsidRPr="00EC2ED0" w:rsidRDefault="00FD38D0" w:rsidP="00300BC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b/>
          <w:bCs/>
          <w:color w:val="000000" w:themeColor="text1"/>
          <w:spacing w:val="-2"/>
          <w:w w:val="98"/>
          <w:sz w:val="19"/>
          <w:szCs w:val="19"/>
        </w:rPr>
        <w:t>H3 (b₁ path):</w:t>
      </w:r>
      <w:r w:rsidRPr="00EC2ED0">
        <w:rPr>
          <w:rFonts w:ascii="Times New Roman" w:eastAsia="함초롬바탕" w:hAnsi="Times New Roman" w:cs="Times New Roman"/>
          <w:color w:val="000000" w:themeColor="text1"/>
          <w:spacing w:val="-2"/>
          <w:w w:val="98"/>
          <w:sz w:val="19"/>
          <w:szCs w:val="19"/>
        </w:rPr>
        <w:t xml:space="preserve"> Employee Competence (EMP) positively influences Customer Satisfaction (SAT).</w:t>
      </w:r>
    </w:p>
    <w:p w14:paraId="3B2760BA" w14:textId="08589A4F" w:rsidR="00FD38D0" w:rsidRPr="00EC2ED0" w:rsidRDefault="00FD38D0" w:rsidP="00300BC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color w:val="000000" w:themeColor="text1"/>
          <w:spacing w:val="-2"/>
          <w:w w:val="98"/>
          <w:sz w:val="19"/>
          <w:szCs w:val="19"/>
        </w:rPr>
        <w:t>If both paths are significant, mediation is expected:</w:t>
      </w:r>
    </w:p>
    <w:p w14:paraId="70B69150" w14:textId="77777777" w:rsidR="00FD38D0" w:rsidRPr="00EC2ED0" w:rsidRDefault="00FD38D0" w:rsidP="00FD38D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b/>
          <w:bCs/>
          <w:color w:val="000000" w:themeColor="text1"/>
          <w:spacing w:val="-2"/>
          <w:w w:val="98"/>
          <w:sz w:val="19"/>
          <w:szCs w:val="19"/>
        </w:rPr>
        <w:t>H4 (Mediation 1):</w:t>
      </w:r>
      <w:r w:rsidRPr="00EC2ED0">
        <w:rPr>
          <w:rFonts w:ascii="Times New Roman" w:eastAsia="함초롬바탕" w:hAnsi="Times New Roman" w:cs="Times New Roman"/>
          <w:color w:val="000000" w:themeColor="text1"/>
          <w:spacing w:val="-2"/>
          <w:w w:val="98"/>
          <w:sz w:val="19"/>
          <w:szCs w:val="19"/>
        </w:rPr>
        <w:t xml:space="preserve"> Employee Competence (EMP) mediates the relationship between Service Reliability (RE) and Customer Satisfaction (SAT).</w:t>
      </w:r>
    </w:p>
    <w:p w14:paraId="26F1B0C9" w14:textId="7FFA24D4" w:rsidR="00FD38D0" w:rsidRPr="00EC2ED0" w:rsidRDefault="00FD38D0" w:rsidP="00FD38D0">
      <w:pPr>
        <w:pStyle w:val="a"/>
        <w:spacing w:line="338" w:lineRule="auto"/>
        <w:ind w:firstLine="200"/>
        <w:textAlignment w:val="center"/>
        <w:rPr>
          <w:rFonts w:ascii="Times New Roman" w:eastAsia="함초롬바탕" w:hAnsi="Times New Roman" w:cs="Times New Roman"/>
          <w:color w:val="000000" w:themeColor="text1"/>
          <w:spacing w:val="-2"/>
          <w:w w:val="98"/>
          <w:sz w:val="24"/>
          <w:szCs w:val="24"/>
        </w:rPr>
      </w:pPr>
    </w:p>
    <w:p w14:paraId="2117D947" w14:textId="77777777" w:rsidR="00FD38D0" w:rsidRPr="00EC2ED0" w:rsidRDefault="00FD38D0" w:rsidP="00300BC0">
      <w:pPr>
        <w:pStyle w:val="Heading2"/>
        <w:rPr>
          <w:color w:val="000000" w:themeColor="text1"/>
          <w:w w:val="98"/>
        </w:rPr>
      </w:pPr>
      <w:r w:rsidRPr="00EC2ED0">
        <w:rPr>
          <w:color w:val="000000" w:themeColor="text1"/>
          <w:w w:val="98"/>
        </w:rPr>
        <w:t>D. Service Reliability and Documentation Efficiency</w:t>
      </w:r>
    </w:p>
    <w:p w14:paraId="2AF72C7F" w14:textId="77777777" w:rsidR="00FD38D0" w:rsidRPr="00EC2ED0" w:rsidRDefault="00FD38D0" w:rsidP="00FD38D0">
      <w:pPr>
        <w:pStyle w:val="a"/>
        <w:spacing w:line="338" w:lineRule="auto"/>
        <w:ind w:firstLine="200"/>
        <w:textAlignment w:val="center"/>
        <w:rPr>
          <w:rFonts w:ascii="Times New Roman" w:eastAsia="함초롬바탕" w:hAnsi="Times New Roman" w:cs="Times New Roman"/>
          <w:color w:val="000000" w:themeColor="text1"/>
          <w:spacing w:val="-2"/>
          <w:w w:val="98"/>
          <w:sz w:val="24"/>
          <w:szCs w:val="24"/>
        </w:rPr>
      </w:pPr>
    </w:p>
    <w:p w14:paraId="38E37DB9" w14:textId="7D6C991F" w:rsidR="00FD38D0" w:rsidRPr="00EC2ED0" w:rsidRDefault="00FD38D0" w:rsidP="00300BC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color w:val="000000" w:themeColor="text1"/>
          <w:spacing w:val="-2"/>
          <w:w w:val="98"/>
          <w:sz w:val="19"/>
          <w:szCs w:val="19"/>
        </w:rPr>
        <w:t>In FCL import services, documentation represents operational control. Schedules and commitments depend on accurate paperwork. When reliability expectations are high, documentation must be managed carefully. Errors in documentation lead to delays and additional checks.</w:t>
      </w:r>
    </w:p>
    <w:p w14:paraId="0A5AF18F" w14:textId="77777777" w:rsidR="00FD38D0" w:rsidRPr="00EC2ED0" w:rsidRDefault="00FD38D0" w:rsidP="00FD38D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color w:val="000000" w:themeColor="text1"/>
          <w:spacing w:val="-2"/>
          <w:w w:val="98"/>
          <w:sz w:val="19"/>
          <w:szCs w:val="19"/>
        </w:rPr>
        <w:t>From the customer’s perspective, documentation quality and service reliability are closely connected. Clear and timely documents reinforce perceived control. Disorganized paperwork undermines credibility, even if cargo eventually arrives. Prior logistics studies emphasize the practical role of documentation in maintaining service continuity under uncertainty (Uvet, 2020; Lin et al., 2023).</w:t>
      </w:r>
    </w:p>
    <w:p w14:paraId="1F05AB73" w14:textId="5DE7738E" w:rsidR="00FD38D0" w:rsidRPr="00EC2ED0" w:rsidRDefault="00FD38D0" w:rsidP="0074325E">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color w:val="000000" w:themeColor="text1"/>
          <w:spacing w:val="-2"/>
          <w:w w:val="98"/>
          <w:sz w:val="19"/>
          <w:szCs w:val="19"/>
        </w:rPr>
        <w:t>Therefore, reliability expectations are expected to influence documentation performance:</w:t>
      </w:r>
    </w:p>
    <w:p w14:paraId="08EB8537" w14:textId="52FC9ADE" w:rsidR="00FD38D0" w:rsidRPr="00EC2ED0" w:rsidRDefault="00FD38D0" w:rsidP="00824C1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b/>
          <w:bCs/>
          <w:color w:val="000000" w:themeColor="text1"/>
          <w:spacing w:val="-2"/>
          <w:w w:val="98"/>
          <w:sz w:val="19"/>
          <w:szCs w:val="19"/>
        </w:rPr>
        <w:t>H5 (a₂ path):</w:t>
      </w:r>
      <w:r w:rsidRPr="00EC2ED0">
        <w:rPr>
          <w:rFonts w:ascii="Times New Roman" w:eastAsia="함초롬바탕" w:hAnsi="Times New Roman" w:cs="Times New Roman"/>
          <w:color w:val="000000" w:themeColor="text1"/>
          <w:spacing w:val="-2"/>
          <w:w w:val="98"/>
          <w:sz w:val="19"/>
          <w:szCs w:val="19"/>
        </w:rPr>
        <w:t xml:space="preserve"> Service Reliability (RE) positively influences Documentation Efficiency (DOC).</w:t>
      </w:r>
    </w:p>
    <w:p w14:paraId="2F82B3FB" w14:textId="1B4F0C23" w:rsidR="00FD38D0" w:rsidRPr="00EC2ED0" w:rsidRDefault="00FD38D0" w:rsidP="0074325E">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color w:val="000000" w:themeColor="text1"/>
          <w:spacing w:val="-2"/>
          <w:w w:val="98"/>
          <w:sz w:val="19"/>
          <w:szCs w:val="19"/>
        </w:rPr>
        <w:t xml:space="preserve">Documentation efficiency also affects satisfaction. Efficient documentation reduces waiting and uncertainty. It allows customers to plan confidently. In contrast, weak documentation creates doubt and frustration. Documentation quality has been shown to influence customer evaluation in import-oriented </w:t>
      </w:r>
      <w:r w:rsidRPr="00EC2ED0">
        <w:rPr>
          <w:rFonts w:ascii="Times New Roman" w:eastAsia="함초롬바탕" w:hAnsi="Times New Roman" w:cs="Times New Roman"/>
          <w:color w:val="000000" w:themeColor="text1"/>
          <w:spacing w:val="-2"/>
          <w:w w:val="98"/>
          <w:sz w:val="19"/>
          <w:szCs w:val="19"/>
        </w:rPr>
        <w:lastRenderedPageBreak/>
        <w:t>services (Lin et al., 2023; Uvet, 2020).</w:t>
      </w:r>
      <w:r w:rsidR="0074325E" w:rsidRPr="00EC2ED0">
        <w:rPr>
          <w:rFonts w:ascii="Times New Roman" w:eastAsia="함초롬바탕" w:hAnsi="Times New Roman" w:cs="Times New Roman"/>
          <w:color w:val="000000" w:themeColor="text1"/>
          <w:spacing w:val="-2"/>
          <w:w w:val="98"/>
          <w:sz w:val="19"/>
          <w:szCs w:val="19"/>
        </w:rPr>
        <w:t xml:space="preserve"> </w:t>
      </w:r>
      <w:r w:rsidRPr="00EC2ED0">
        <w:rPr>
          <w:rFonts w:ascii="Times New Roman" w:eastAsia="함초롬바탕" w:hAnsi="Times New Roman" w:cs="Times New Roman"/>
          <w:color w:val="000000" w:themeColor="text1"/>
          <w:spacing w:val="-2"/>
          <w:w w:val="98"/>
          <w:sz w:val="19"/>
          <w:szCs w:val="19"/>
        </w:rPr>
        <w:t>Accordingly:</w:t>
      </w:r>
    </w:p>
    <w:p w14:paraId="4EC7AC69" w14:textId="4A246BEA" w:rsidR="00FD38D0" w:rsidRPr="00EC2ED0" w:rsidRDefault="00FD38D0" w:rsidP="00300BC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b/>
          <w:bCs/>
          <w:color w:val="000000" w:themeColor="text1"/>
          <w:spacing w:val="-2"/>
          <w:w w:val="98"/>
          <w:sz w:val="19"/>
          <w:szCs w:val="19"/>
        </w:rPr>
        <w:t>H6 (b₂ path):</w:t>
      </w:r>
      <w:r w:rsidRPr="00EC2ED0">
        <w:rPr>
          <w:rFonts w:ascii="Times New Roman" w:eastAsia="함초롬바탕" w:hAnsi="Times New Roman" w:cs="Times New Roman"/>
          <w:color w:val="000000" w:themeColor="text1"/>
          <w:spacing w:val="-2"/>
          <w:w w:val="98"/>
          <w:sz w:val="19"/>
          <w:szCs w:val="19"/>
        </w:rPr>
        <w:t xml:space="preserve"> Documentation Efficiency (DOC) positively influences Customer Satisfaction (SAT).</w:t>
      </w:r>
    </w:p>
    <w:p w14:paraId="498098B9" w14:textId="580CC868" w:rsidR="00FD38D0" w:rsidRPr="00EC2ED0" w:rsidRDefault="00FD38D0" w:rsidP="00C21CA8">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color w:val="000000" w:themeColor="text1"/>
          <w:spacing w:val="-2"/>
          <w:w w:val="98"/>
          <w:sz w:val="19"/>
          <w:szCs w:val="19"/>
        </w:rPr>
        <w:t>If both component paths are supported, mediation is expected:</w:t>
      </w:r>
    </w:p>
    <w:p w14:paraId="656FBEC1" w14:textId="77777777" w:rsidR="00FD38D0" w:rsidRPr="00EC2ED0" w:rsidRDefault="00FD38D0" w:rsidP="00FD38D0">
      <w:pPr>
        <w:pStyle w:val="a"/>
        <w:spacing w:line="338" w:lineRule="auto"/>
        <w:ind w:firstLine="200"/>
        <w:textAlignment w:val="center"/>
        <w:rPr>
          <w:rFonts w:ascii="Times New Roman" w:eastAsia="함초롬바탕" w:hAnsi="Times New Roman" w:cs="Times New Roman"/>
          <w:color w:val="000000" w:themeColor="text1"/>
          <w:spacing w:val="-2"/>
          <w:w w:val="98"/>
          <w:sz w:val="19"/>
          <w:szCs w:val="19"/>
        </w:rPr>
      </w:pPr>
      <w:r w:rsidRPr="00EC2ED0">
        <w:rPr>
          <w:rFonts w:ascii="Times New Roman" w:eastAsia="함초롬바탕" w:hAnsi="Times New Roman" w:cs="Times New Roman"/>
          <w:b/>
          <w:bCs/>
          <w:color w:val="000000" w:themeColor="text1"/>
          <w:spacing w:val="-2"/>
          <w:w w:val="98"/>
          <w:sz w:val="19"/>
          <w:szCs w:val="19"/>
        </w:rPr>
        <w:t>H7 (Mediation 2):</w:t>
      </w:r>
      <w:r w:rsidRPr="00EC2ED0">
        <w:rPr>
          <w:rFonts w:ascii="Times New Roman" w:eastAsia="함초롬바탕" w:hAnsi="Times New Roman" w:cs="Times New Roman"/>
          <w:color w:val="000000" w:themeColor="text1"/>
          <w:spacing w:val="-2"/>
          <w:w w:val="98"/>
          <w:sz w:val="19"/>
          <w:szCs w:val="19"/>
        </w:rPr>
        <w:t xml:space="preserve"> Documentation Efficiency (DOC) mediates the relationship between Service Reliability (RE) and Customer Satisfaction (SAT).</w:t>
      </w:r>
    </w:p>
    <w:p w14:paraId="057A64A7" w14:textId="77777777" w:rsidR="00124EE8" w:rsidRPr="00EC2ED0" w:rsidRDefault="00124EE8" w:rsidP="00CD5067">
      <w:pPr>
        <w:pStyle w:val="a"/>
        <w:spacing w:line="360" w:lineRule="auto"/>
        <w:textAlignment w:val="center"/>
        <w:rPr>
          <w:rFonts w:ascii="Times New Roman" w:eastAsia="함초롬바탕" w:hAnsi="Times New Roman" w:cs="Times New Roman"/>
          <w:color w:val="000000" w:themeColor="text1"/>
          <w:spacing w:val="-2"/>
          <w:w w:val="98"/>
          <w:sz w:val="24"/>
          <w:szCs w:val="24"/>
        </w:rPr>
      </w:pPr>
    </w:p>
    <w:p w14:paraId="4AA30F6A" w14:textId="4A679B81" w:rsidR="002B4ED0" w:rsidRPr="00EC2ED0" w:rsidRDefault="002B4ED0" w:rsidP="002B4ED0">
      <w:pPr>
        <w:pStyle w:val="Heading1"/>
        <w:rPr>
          <w:color w:val="000000" w:themeColor="text1"/>
          <w:w w:val="98"/>
        </w:rPr>
      </w:pPr>
      <w:r w:rsidRPr="00EC2ED0">
        <w:rPr>
          <w:color w:val="000000" w:themeColor="text1"/>
          <w:w w:val="98"/>
        </w:rPr>
        <w:t>IV. Methodology</w:t>
      </w:r>
    </w:p>
    <w:p w14:paraId="1941AB9E" w14:textId="78D244FE" w:rsidR="002B4ED0" w:rsidRPr="00EC2ED0" w:rsidRDefault="002B4ED0" w:rsidP="003B3B34">
      <w:pPr>
        <w:pStyle w:val="a"/>
        <w:spacing w:line="360" w:lineRule="auto"/>
        <w:textAlignment w:val="center"/>
        <w:rPr>
          <w:rFonts w:ascii="Times New Roman" w:eastAsia="함초롬바탕" w:hAnsi="Times New Roman" w:cs="Times New Roman"/>
          <w:color w:val="000000" w:themeColor="text1"/>
          <w:spacing w:val="-2"/>
          <w:w w:val="98"/>
          <w:sz w:val="24"/>
          <w:szCs w:val="24"/>
        </w:rPr>
      </w:pPr>
    </w:p>
    <w:p w14:paraId="6134498C" w14:textId="0EBF6AC4" w:rsidR="000F25FB" w:rsidRPr="00EC2ED0" w:rsidRDefault="00A93071" w:rsidP="00ED1FC6">
      <w:pPr>
        <w:pStyle w:val="Heading2"/>
        <w:rPr>
          <w:color w:val="000000" w:themeColor="text1"/>
          <w:w w:val="98"/>
        </w:rPr>
      </w:pPr>
      <w:r w:rsidRPr="00EC2ED0">
        <w:rPr>
          <w:color w:val="000000" w:themeColor="text1"/>
          <w:w w:val="98"/>
        </w:rPr>
        <w:t xml:space="preserve">A. </w:t>
      </w:r>
      <w:r w:rsidR="000F25FB" w:rsidRPr="00EC2ED0">
        <w:rPr>
          <w:color w:val="000000" w:themeColor="text1"/>
          <w:w w:val="98"/>
        </w:rPr>
        <w:t>Research design and overall approach</w:t>
      </w:r>
    </w:p>
    <w:p w14:paraId="6F7380E5" w14:textId="77777777" w:rsidR="00ED1FC6" w:rsidRPr="00EC2ED0" w:rsidRDefault="00ED1FC6" w:rsidP="00ED1FC6">
      <w:pPr>
        <w:spacing w:line="360" w:lineRule="auto"/>
        <w:rPr>
          <w:color w:val="000000" w:themeColor="text1"/>
        </w:rPr>
      </w:pPr>
    </w:p>
    <w:p w14:paraId="1A411923" w14:textId="3E17F643" w:rsidR="00EE061A" w:rsidRPr="00EC2ED0" w:rsidRDefault="00EE061A" w:rsidP="00EE061A">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This study follows a scale adaptation and validation design. The objective is not to generate new constructs. Instead, established LSQ constructs are contextualized for maritime FCL import services. This positioning aligns with standard scale development logic in operations and marketing research (Pellathy et al., 2019).</w:t>
      </w:r>
    </w:p>
    <w:p w14:paraId="6F24E850" w14:textId="6A291C71" w:rsidR="00EE061A" w:rsidRPr="00EC2ED0" w:rsidRDefault="00EE061A" w:rsidP="00EE061A">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The research design was structured in two sequential stages. First, content validity was examined through expert review. Second, quantitative validation was conducted using survey data from business customers. This approach ensures conceptual clarity before statistical testing.</w:t>
      </w:r>
    </w:p>
    <w:p w14:paraId="435A1AB1" w14:textId="46529BA0" w:rsidR="00EE061A" w:rsidRPr="00EC2ED0" w:rsidRDefault="00EE061A" w:rsidP="00EE061A">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The qualitative stage focused on contextual refinement. Eight practitioners were interviewed. All participants had more than five years of direct experience in maritime FCL import operations. Managerial and operational roles were included. Exposure to documentation handling and disruption management was required as a selection criterion.</w:t>
      </w:r>
    </w:p>
    <w:p w14:paraId="1EA47456" w14:textId="2450AEE7" w:rsidR="00EE061A" w:rsidRPr="00EC2ED0" w:rsidRDefault="00EE061A" w:rsidP="00EE061A">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Semi-structured interviews were conducted. Each interview lasted between 45 and 60 minutes. Interview guides covered service reliability interpretation, documentation risks, and employee response patterns. Interviews were recorded and transcribed. A thematic coding procedure was applied. Initial open coding was performed. Codes were then grouped into conceptual themes.</w:t>
      </w:r>
    </w:p>
    <w:p w14:paraId="48634983" w14:textId="1B1F8C29" w:rsidR="00EE061A" w:rsidRPr="00EC2ED0" w:rsidRDefault="00EE061A" w:rsidP="00EE061A">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Based on this analysis, several item modifications were implemented. Two reliability items were reworded to emphasize disruption communication rather than punctuality alone. One documentation item was refined to reflect customs declaration accuracy. One employee competence item was clarified to capture cross-party coordination. No new construct was introduced. All revisions were anchored in interview evidence.</w:t>
      </w:r>
    </w:p>
    <w:p w14:paraId="3AE0395A" w14:textId="67876CAA" w:rsidR="000F25FB" w:rsidRPr="00EC2ED0" w:rsidRDefault="00EE061A" w:rsidP="00BF02B4">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Potential measurement bias was considered. Experts were drawn from the service provider side. However, the purpose of the qualitative stage was construct contextualization rather than perceptual measurement. Customer perceptions were exclusively measured in the quantitative stage. This separation reduces conceptual confounding. Nonetheless, supplier-oriented framing is acknowledged as a contextual limitation.</w:t>
      </w:r>
    </w:p>
    <w:p w14:paraId="470509A9" w14:textId="3E031E07" w:rsidR="000F25FB" w:rsidRPr="00EC2ED0" w:rsidRDefault="000F25FB" w:rsidP="00A93071">
      <w:pPr>
        <w:pStyle w:val="a"/>
        <w:spacing w:line="360" w:lineRule="auto"/>
        <w:ind w:firstLine="284"/>
        <w:textAlignment w:val="center"/>
        <w:rPr>
          <w:rFonts w:ascii="Times New Roman" w:eastAsia="함초롬바탕" w:hAnsi="Times New Roman" w:cs="Times New Roman"/>
          <w:color w:val="000000" w:themeColor="text1"/>
          <w:spacing w:val="-2"/>
          <w:w w:val="98"/>
          <w:sz w:val="24"/>
          <w:szCs w:val="24"/>
        </w:rPr>
      </w:pPr>
    </w:p>
    <w:p w14:paraId="27507BAD" w14:textId="0E0DEBD7" w:rsidR="000F25FB" w:rsidRPr="00EC2ED0" w:rsidRDefault="00A93071" w:rsidP="00A93071">
      <w:pPr>
        <w:pStyle w:val="Heading2"/>
        <w:rPr>
          <w:color w:val="000000" w:themeColor="text1"/>
          <w:w w:val="98"/>
        </w:rPr>
      </w:pPr>
      <w:r w:rsidRPr="00EC2ED0">
        <w:rPr>
          <w:color w:val="000000" w:themeColor="text1"/>
          <w:w w:val="98"/>
        </w:rPr>
        <w:t xml:space="preserve">B. </w:t>
      </w:r>
      <w:r w:rsidR="000F25FB" w:rsidRPr="00EC2ED0">
        <w:rPr>
          <w:color w:val="000000" w:themeColor="text1"/>
          <w:w w:val="98"/>
        </w:rPr>
        <w:t>Measurement development</w:t>
      </w:r>
    </w:p>
    <w:p w14:paraId="5E82E1AB" w14:textId="77777777" w:rsidR="00D55A05" w:rsidRPr="00EC2ED0" w:rsidRDefault="00D55A05" w:rsidP="00A93071">
      <w:pPr>
        <w:pStyle w:val="a"/>
        <w:spacing w:line="360" w:lineRule="auto"/>
        <w:ind w:firstLine="284"/>
        <w:textAlignment w:val="center"/>
        <w:rPr>
          <w:rFonts w:ascii="Times New Roman" w:eastAsia="함초롬바탕" w:hAnsi="Times New Roman" w:cs="Times New Roman"/>
          <w:b/>
          <w:bCs/>
          <w:color w:val="000000" w:themeColor="text1"/>
          <w:spacing w:val="-2"/>
          <w:w w:val="98"/>
          <w:sz w:val="24"/>
          <w:szCs w:val="24"/>
        </w:rPr>
      </w:pPr>
    </w:p>
    <w:p w14:paraId="648278D5" w14:textId="42BEFAFF" w:rsidR="00BF02B4" w:rsidRPr="00EC2ED0" w:rsidRDefault="00BF02B4" w:rsidP="00BF02B4">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All constructs were measured using five-point Likert scales. Anchors ranged from “strongly disagree” to “strongly agree.” Items were sourced from established LSQ research (Mentzer et al., 2001; Kilibarda et al., 2020).</w:t>
      </w:r>
    </w:p>
    <w:p w14:paraId="69C383C8" w14:textId="33AFF2F6" w:rsidR="00BF02B4" w:rsidRPr="00EC2ED0" w:rsidRDefault="00BF02B4" w:rsidP="00BF02B4">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Content validity was assessed during expert review. Wording clarity was refined. Contextual specificity was strengthened. Redundant phrasing was removed. The conceptual domain of each construct was preserved.</w:t>
      </w:r>
    </w:p>
    <w:p w14:paraId="789C4A8F" w14:textId="0008978B" w:rsidR="00BF02B4" w:rsidRPr="00EC2ED0" w:rsidRDefault="00BF02B4" w:rsidP="00BF02B4">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Service reliability items capture commitment fulfilment under disruption. Employee competence items capture coordination and explanation capacity. Documentation efficiency items capture document accuracy and procedural continuity. Customer satisfaction was measured as post-execution evaluation. Loyalty-related wording was avoided to maintain construct purity.</w:t>
      </w:r>
    </w:p>
    <w:p w14:paraId="59D6B4C3" w14:textId="79AEE497" w:rsidR="000F25FB" w:rsidRPr="00EC2ED0" w:rsidRDefault="00BF02B4" w:rsidP="00BF02B4">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 xml:space="preserve">A pilot clarity check was performed with three logistics professionals before survey distribution. </w:t>
      </w:r>
      <w:r w:rsidRPr="00EC2ED0">
        <w:rPr>
          <w:rFonts w:ascii="Times New Roman" w:eastAsia="함초롬바탕" w:hAnsi="Times New Roman" w:cs="Times New Roman"/>
          <w:color w:val="000000" w:themeColor="text1"/>
          <w:spacing w:val="-2"/>
          <w:w w:val="98"/>
          <w:sz w:val="19"/>
          <w:szCs w:val="19"/>
          <w:lang/>
        </w:rPr>
        <w:lastRenderedPageBreak/>
        <w:t>Minor language adjustments were made. No structural change was required.</w:t>
      </w:r>
    </w:p>
    <w:p w14:paraId="1CE18392" w14:textId="147CC83B" w:rsidR="000F25FB" w:rsidRPr="00EC2ED0" w:rsidRDefault="000F25FB" w:rsidP="00DD0131">
      <w:pPr>
        <w:pStyle w:val="a"/>
        <w:spacing w:line="360" w:lineRule="auto"/>
        <w:ind w:firstLine="284"/>
        <w:textAlignment w:val="center"/>
        <w:rPr>
          <w:rFonts w:ascii="Times New Roman" w:eastAsia="함초롬바탕" w:hAnsi="Times New Roman" w:cs="Times New Roman"/>
          <w:color w:val="000000" w:themeColor="text1"/>
          <w:spacing w:val="-2"/>
          <w:w w:val="98"/>
          <w:sz w:val="24"/>
          <w:szCs w:val="24"/>
        </w:rPr>
      </w:pPr>
    </w:p>
    <w:p w14:paraId="12812CA4" w14:textId="581CCE83" w:rsidR="000F25FB" w:rsidRPr="00EC2ED0" w:rsidRDefault="00DD0131" w:rsidP="00DD0131">
      <w:pPr>
        <w:pStyle w:val="Heading2"/>
        <w:rPr>
          <w:color w:val="000000" w:themeColor="text1"/>
          <w:w w:val="98"/>
        </w:rPr>
      </w:pPr>
      <w:r w:rsidRPr="00EC2ED0">
        <w:rPr>
          <w:color w:val="000000" w:themeColor="text1"/>
          <w:w w:val="98"/>
        </w:rPr>
        <w:t>C</w:t>
      </w:r>
      <w:r w:rsidR="000F25FB" w:rsidRPr="00EC2ED0">
        <w:rPr>
          <w:color w:val="000000" w:themeColor="text1"/>
          <w:w w:val="98"/>
        </w:rPr>
        <w:t>. Data collection and sample</w:t>
      </w:r>
    </w:p>
    <w:p w14:paraId="12620358" w14:textId="77777777" w:rsidR="00D55A05" w:rsidRPr="00EC2ED0" w:rsidRDefault="00D55A05" w:rsidP="00DD0131">
      <w:pPr>
        <w:pStyle w:val="a"/>
        <w:spacing w:line="360" w:lineRule="auto"/>
        <w:ind w:firstLine="284"/>
        <w:textAlignment w:val="center"/>
        <w:rPr>
          <w:rFonts w:ascii="Times New Roman" w:eastAsia="함초롬바탕" w:hAnsi="Times New Roman" w:cs="Times New Roman"/>
          <w:b/>
          <w:bCs/>
          <w:color w:val="000000" w:themeColor="text1"/>
          <w:spacing w:val="-2"/>
          <w:w w:val="98"/>
          <w:sz w:val="24"/>
          <w:szCs w:val="24"/>
        </w:rPr>
      </w:pPr>
    </w:p>
    <w:p w14:paraId="2D75FFDD" w14:textId="62E4694B" w:rsidR="009C3B72" w:rsidRPr="00EC2ED0" w:rsidRDefault="009C3B72" w:rsidP="009C3B72">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Data were collected from business customers who had recently used maritime FCL import services in Vietnam during 2024</w:t>
      </w:r>
      <w:r w:rsidR="009863C7" w:rsidRPr="00EC2ED0">
        <w:rPr>
          <w:rFonts w:ascii="Times New Roman" w:eastAsia="함초롬바탕" w:hAnsi="Times New Roman" w:cs="Times New Roman"/>
          <w:color w:val="000000" w:themeColor="text1"/>
          <w:spacing w:val="-2"/>
          <w:w w:val="98"/>
          <w:sz w:val="19"/>
          <w:szCs w:val="19"/>
          <w:lang/>
        </w:rPr>
        <w:t>-</w:t>
      </w:r>
      <w:r w:rsidRPr="00EC2ED0">
        <w:rPr>
          <w:rFonts w:ascii="Times New Roman" w:eastAsia="함초롬바탕" w:hAnsi="Times New Roman" w:cs="Times New Roman"/>
          <w:color w:val="000000" w:themeColor="text1"/>
          <w:spacing w:val="-2"/>
          <w:w w:val="98"/>
          <w:sz w:val="19"/>
          <w:szCs w:val="19"/>
          <w:lang/>
        </w:rPr>
        <w:t>2025. A purposive sampling approach was applied. Respondents were required to hold responsibility for logistics coordination or import–export management. Operational familiarity was therefore ensured.</w:t>
      </w:r>
    </w:p>
    <w:p w14:paraId="5A2172F7" w14:textId="58625047" w:rsidR="009C3B72" w:rsidRPr="00EC2ED0" w:rsidRDefault="009C3B72" w:rsidP="009C3B72">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Two hundred questionnaires were distributed electronically. Seventy-five valid responses were retained after data screening. Incomplete surveys were removed. Patterned responses were excluded.</w:t>
      </w:r>
    </w:p>
    <w:p w14:paraId="5BF6E838" w14:textId="255ABB0D" w:rsidR="000F25FB" w:rsidRPr="00EC2ED0" w:rsidRDefault="009C3B72" w:rsidP="009863C7">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The final sample size is modest. However, respondents possessed high operational involvement. This study prioritises depth of domain expertise over broad population coverage. Statistical procedures were selected accordingly to accommodate sample size constraints.</w:t>
      </w:r>
      <w:r w:rsidR="009863C7" w:rsidRPr="00EC2ED0">
        <w:rPr>
          <w:rFonts w:ascii="Times New Roman" w:eastAsia="함초롬바탕" w:hAnsi="Times New Roman" w:cs="Times New Roman"/>
          <w:color w:val="000000" w:themeColor="text1"/>
          <w:spacing w:val="-2"/>
          <w:w w:val="98"/>
          <w:sz w:val="19"/>
          <w:szCs w:val="19"/>
          <w:lang/>
        </w:rPr>
        <w:t xml:space="preserve"> </w:t>
      </w:r>
      <w:r w:rsidRPr="00EC2ED0">
        <w:rPr>
          <w:rFonts w:ascii="Times New Roman" w:eastAsia="함초롬바탕" w:hAnsi="Times New Roman" w:cs="Times New Roman"/>
          <w:color w:val="000000" w:themeColor="text1"/>
          <w:spacing w:val="-2"/>
          <w:w w:val="98"/>
          <w:sz w:val="19"/>
          <w:szCs w:val="19"/>
          <w:lang/>
        </w:rPr>
        <w:t>Non-response bias was examined through early–late response comparison. No significant mean differences were detected across key constructs. Severe response distortion was not observed.</w:t>
      </w:r>
    </w:p>
    <w:p w14:paraId="3EE142E1" w14:textId="2B3FF76F" w:rsidR="006C60C7" w:rsidRPr="00EC2ED0" w:rsidRDefault="006C60C7">
      <w:pPr>
        <w:rPr>
          <w:rFonts w:eastAsia="KoPubWorld바탕체 Light"/>
          <w:color w:val="000000" w:themeColor="text1"/>
          <w:w w:val="98"/>
          <w:sz w:val="22"/>
        </w:rPr>
      </w:pPr>
    </w:p>
    <w:p w14:paraId="3253E605" w14:textId="6B308167" w:rsidR="000F25FB" w:rsidRPr="00EC2ED0" w:rsidRDefault="006702BE" w:rsidP="006702BE">
      <w:pPr>
        <w:pStyle w:val="Heading2"/>
        <w:rPr>
          <w:color w:val="000000" w:themeColor="text1"/>
          <w:w w:val="98"/>
        </w:rPr>
      </w:pPr>
      <w:r w:rsidRPr="00EC2ED0">
        <w:rPr>
          <w:color w:val="000000" w:themeColor="text1"/>
          <w:w w:val="98"/>
        </w:rPr>
        <w:t>D</w:t>
      </w:r>
      <w:r w:rsidR="000F25FB" w:rsidRPr="00EC2ED0">
        <w:rPr>
          <w:color w:val="000000" w:themeColor="text1"/>
          <w:w w:val="98"/>
        </w:rPr>
        <w:t>. Data analysis procedure</w:t>
      </w:r>
    </w:p>
    <w:p w14:paraId="1331F65F" w14:textId="77777777" w:rsidR="00D55A05" w:rsidRPr="00EC2ED0" w:rsidRDefault="00D55A05" w:rsidP="006702BE">
      <w:pPr>
        <w:pStyle w:val="a"/>
        <w:spacing w:line="360" w:lineRule="auto"/>
        <w:ind w:firstLine="284"/>
        <w:textAlignment w:val="center"/>
        <w:rPr>
          <w:rFonts w:ascii="Times New Roman" w:eastAsia="함초롬바탕" w:hAnsi="Times New Roman" w:cs="Times New Roman"/>
          <w:b/>
          <w:bCs/>
          <w:color w:val="000000" w:themeColor="text1"/>
          <w:spacing w:val="-2"/>
          <w:w w:val="98"/>
          <w:sz w:val="24"/>
          <w:szCs w:val="24"/>
        </w:rPr>
      </w:pPr>
    </w:p>
    <w:p w14:paraId="18A612EB" w14:textId="6DFBE231" w:rsidR="008256C7" w:rsidRPr="00EC2ED0" w:rsidRDefault="008256C7" w:rsidP="008256C7">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Data analysis was conducted in sequential steps. Internal consistency was first assessed using Cronbach’s alpha. Construct structure was then examined using Exploratory Factor Analysis.</w:t>
      </w:r>
    </w:p>
    <w:p w14:paraId="00328A24" w14:textId="7321627D" w:rsidR="008256C7" w:rsidRPr="00EC2ED0" w:rsidRDefault="008256C7" w:rsidP="008256C7">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Common factor extraction was employed using Principal Axis Factoring. Shared variance among observed variables was targeted. Data reduction was not the objective. Promax rotation was applied because LSQ dimensions were expected to correlate. Factor retention was guided by eigenvalues and scree plot inspection.</w:t>
      </w:r>
    </w:p>
    <w:p w14:paraId="0CC137AE" w14:textId="62CC5CCE" w:rsidR="008256C7" w:rsidRPr="00EC2ED0" w:rsidRDefault="008256C7" w:rsidP="008256C7">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 xml:space="preserve">Common Method Bias was addressed through </w:t>
      </w:r>
      <w:r w:rsidRPr="00EC2ED0">
        <w:rPr>
          <w:rFonts w:ascii="Times New Roman" w:eastAsia="함초롬바탕" w:hAnsi="Times New Roman" w:cs="Times New Roman"/>
          <w:color w:val="000000" w:themeColor="text1"/>
          <w:spacing w:val="-2"/>
          <w:w w:val="98"/>
          <w:sz w:val="19"/>
          <w:szCs w:val="19"/>
          <w:lang/>
        </w:rPr>
        <w:t>both procedural and statistical remedies. Anonymity was assured. Item wording was kept neutral. Construct items were interspersed in the questionnaire. Harman’s single-factor test was performed. The first unrotated factor accounted for less than 50% of total variance. Severe CMB was therefore not indicated.</w:t>
      </w:r>
    </w:p>
    <w:p w14:paraId="3E166962" w14:textId="0AEDECAA" w:rsidR="00455300" w:rsidRPr="00EC2ED0" w:rsidRDefault="008256C7" w:rsidP="009C3174">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Hypotheses were tested using Ordinary Least Squares regression. Bootstrap mediation analysis was conducted to estimate indirect effects. CB-SEM was not adopted due to limited sample size (N = 75). Stable covariance estimation may be compromised in small samples. Regression with bootstrap confidence intervals provides robust inference for mediation under such conditions. Similar modeling logic has been applied in operations research contexts (Vickery et al., 2025).</w:t>
      </w:r>
    </w:p>
    <w:p w14:paraId="6B41D3A8" w14:textId="18D38CE7" w:rsidR="007C3DD3" w:rsidRPr="00EC2ED0" w:rsidRDefault="007C3DD3" w:rsidP="009C3174">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lang/>
        </w:rPr>
      </w:pPr>
      <w:r w:rsidRPr="00EC2ED0">
        <w:rPr>
          <w:rFonts w:ascii="Times New Roman" w:eastAsia="함초롬바탕" w:hAnsi="Times New Roman" w:cs="Times New Roman"/>
          <w:color w:val="000000" w:themeColor="text1"/>
          <w:spacing w:val="-2"/>
          <w:w w:val="98"/>
          <w:sz w:val="19"/>
          <w:szCs w:val="19"/>
          <w:lang/>
        </w:rPr>
        <w:t xml:space="preserve">Regression assumptions were evaluated. Residual normality was assessed. Homoscedasticity was examined using residual plots. Linearity was inspected. Influential cases were evaluated using Cook’s distance. No critical violations were identifed. Indirect effects were evaluated using 95% bootstrap confidence intervals. Path coefficients for a, b, c, and c′ were reported. Standard errors were provided. Both direct and total effects were examined to determine mediation structure. </w:t>
      </w:r>
      <w:r w:rsidRPr="00EC2ED0">
        <w:rPr>
          <w:rFonts w:ascii="Times New Roman" w:eastAsia="함초롬바탕" w:hAnsi="Times New Roman" w:cs="Times New Roman"/>
          <w:color w:val="000000" w:themeColor="text1"/>
          <w:spacing w:val="-2"/>
          <w:w w:val="98"/>
          <w:sz w:val="19"/>
          <w:szCs w:val="19"/>
        </w:rPr>
        <w:t>Research procedure is presented in Figure 1.</w:t>
      </w:r>
    </w:p>
    <w:p w14:paraId="05A73AB0" w14:textId="77777777" w:rsidR="00E15CD2" w:rsidRPr="00EC2ED0" w:rsidRDefault="00E15CD2" w:rsidP="002B4ED0">
      <w:pPr>
        <w:pStyle w:val="a"/>
        <w:spacing w:line="338" w:lineRule="auto"/>
        <w:ind w:firstLine="284"/>
        <w:textAlignment w:val="center"/>
        <w:rPr>
          <w:rFonts w:ascii="Times New Roman" w:eastAsia="함초롬바탕" w:hAnsi="Times New Roman" w:cs="Times New Roman"/>
          <w:color w:val="000000" w:themeColor="text1"/>
          <w:spacing w:val="-2"/>
          <w:w w:val="98"/>
          <w:sz w:val="19"/>
          <w:szCs w:val="19"/>
        </w:rPr>
      </w:pPr>
    </w:p>
    <w:p w14:paraId="064DA544" w14:textId="77777777" w:rsidR="002B4ED0" w:rsidRPr="00EC2ED0" w:rsidRDefault="002B4ED0" w:rsidP="002B4ED0">
      <w:pPr>
        <w:pStyle w:val="a"/>
        <w:keepNext/>
        <w:spacing w:line="338" w:lineRule="auto"/>
        <w:textAlignment w:val="center"/>
        <w:rPr>
          <w:color w:val="000000" w:themeColor="text1"/>
        </w:rPr>
      </w:pPr>
      <w:r w:rsidRPr="00EC2ED0">
        <w:rPr>
          <w:rFonts w:ascii="Times New Roman" w:eastAsia="함초롬바탕" w:hAnsi="Times New Roman" w:cs="Times New Roman"/>
          <w:noProof/>
          <w:color w:val="000000" w:themeColor="text1"/>
          <w:spacing w:val="-2"/>
          <w:w w:val="98"/>
          <w:sz w:val="19"/>
          <w:szCs w:val="19"/>
        </w:rPr>
        <w:lastRenderedPageBreak/>
        <w:drawing>
          <wp:inline distT="0" distB="0" distL="0" distR="0" wp14:anchorId="30B99F28" wp14:editId="76C2FF09">
            <wp:extent cx="2422525" cy="2593340"/>
            <wp:effectExtent l="0" t="0" r="3175" b="0"/>
            <wp:docPr id="128654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45990" name=""/>
                    <pic:cNvPicPr/>
                  </pic:nvPicPr>
                  <pic:blipFill>
                    <a:blip r:embed="rId10"/>
                    <a:stretch>
                      <a:fillRect/>
                    </a:stretch>
                  </pic:blipFill>
                  <pic:spPr>
                    <a:xfrm>
                      <a:off x="0" y="0"/>
                      <a:ext cx="2422525" cy="2593340"/>
                    </a:xfrm>
                    <a:prstGeom prst="rect">
                      <a:avLst/>
                    </a:prstGeom>
                  </pic:spPr>
                </pic:pic>
              </a:graphicData>
            </a:graphic>
          </wp:inline>
        </w:drawing>
      </w:r>
    </w:p>
    <w:p w14:paraId="7521F825" w14:textId="5111953C" w:rsidR="009C3174" w:rsidRPr="00EC2ED0" w:rsidRDefault="002B4ED0" w:rsidP="007C3DD3">
      <w:pPr>
        <w:pStyle w:val="Caption"/>
        <w:spacing w:line="480" w:lineRule="auto"/>
        <w:jc w:val="center"/>
        <w:rPr>
          <w:color w:val="000000" w:themeColor="text1"/>
        </w:rPr>
      </w:pPr>
      <w:r w:rsidRPr="00EC2ED0">
        <w:rPr>
          <w:b/>
          <w:bCs/>
          <w:color w:val="000000" w:themeColor="text1"/>
        </w:rPr>
        <w:t xml:space="preserve">Figure </w:t>
      </w:r>
      <w:r w:rsidRPr="00EC2ED0">
        <w:rPr>
          <w:b/>
          <w:bCs/>
          <w:color w:val="000000" w:themeColor="text1"/>
        </w:rPr>
        <w:fldChar w:fldCharType="begin"/>
      </w:r>
      <w:r w:rsidRPr="00EC2ED0">
        <w:rPr>
          <w:b/>
          <w:bCs/>
          <w:color w:val="000000" w:themeColor="text1"/>
        </w:rPr>
        <w:instrText xml:space="preserve"> SEQ Figure \* ARABIC </w:instrText>
      </w:r>
      <w:r w:rsidRPr="00EC2ED0">
        <w:rPr>
          <w:b/>
          <w:bCs/>
          <w:color w:val="000000" w:themeColor="text1"/>
        </w:rPr>
        <w:fldChar w:fldCharType="separate"/>
      </w:r>
      <w:r w:rsidR="007C3DD3" w:rsidRPr="00EC2ED0">
        <w:rPr>
          <w:b/>
          <w:bCs/>
          <w:noProof/>
          <w:color w:val="000000" w:themeColor="text1"/>
        </w:rPr>
        <w:t>1</w:t>
      </w:r>
      <w:r w:rsidRPr="00EC2ED0">
        <w:rPr>
          <w:b/>
          <w:bCs/>
          <w:color w:val="000000" w:themeColor="text1"/>
        </w:rPr>
        <w:fldChar w:fldCharType="end"/>
      </w:r>
      <w:r w:rsidRPr="00EC2ED0">
        <w:rPr>
          <w:color w:val="000000" w:themeColor="text1"/>
        </w:rPr>
        <w:t>. Research procedure</w:t>
      </w:r>
    </w:p>
    <w:p w14:paraId="77092C37" w14:textId="77777777" w:rsidR="006C60C7" w:rsidRPr="00EC2ED0" w:rsidRDefault="006C60C7" w:rsidP="005B229E">
      <w:pPr>
        <w:rPr>
          <w:color w:val="000000" w:themeColor="text1"/>
          <w:w w:val="98"/>
        </w:rPr>
      </w:pPr>
    </w:p>
    <w:p w14:paraId="6E55FFA4" w14:textId="4F57D167" w:rsidR="00301BF0" w:rsidRPr="00EC2ED0" w:rsidRDefault="00FA6B1B" w:rsidP="00301BF0">
      <w:pPr>
        <w:pStyle w:val="Heading1"/>
        <w:rPr>
          <w:color w:val="000000" w:themeColor="text1"/>
          <w:w w:val="98"/>
        </w:rPr>
      </w:pPr>
      <w:r w:rsidRPr="00EC2ED0">
        <w:rPr>
          <w:color w:val="000000" w:themeColor="text1"/>
          <w:w w:val="98"/>
        </w:rPr>
        <w:t xml:space="preserve">V. </w:t>
      </w:r>
      <w:r w:rsidR="00301BF0" w:rsidRPr="00EC2ED0">
        <w:rPr>
          <w:color w:val="000000" w:themeColor="text1"/>
          <w:w w:val="98"/>
        </w:rPr>
        <w:t>Research results</w:t>
      </w:r>
    </w:p>
    <w:p w14:paraId="4489FA0C" w14:textId="77777777" w:rsidR="00AE3678" w:rsidRPr="00EC2ED0" w:rsidRDefault="00AE3678" w:rsidP="00AE3678">
      <w:pPr>
        <w:spacing w:line="360" w:lineRule="auto"/>
        <w:rPr>
          <w:color w:val="000000" w:themeColor="text1"/>
        </w:rPr>
      </w:pPr>
    </w:p>
    <w:p w14:paraId="671B9A10" w14:textId="4CA26858" w:rsidR="00301BF0" w:rsidRPr="00EC2ED0" w:rsidRDefault="00AE3678" w:rsidP="00301BF0">
      <w:pPr>
        <w:pStyle w:val="Heading2"/>
        <w:rPr>
          <w:color w:val="000000" w:themeColor="text1"/>
          <w:w w:val="98"/>
        </w:rPr>
      </w:pPr>
      <w:r w:rsidRPr="00EC2ED0">
        <w:rPr>
          <w:color w:val="000000" w:themeColor="text1"/>
          <w:w w:val="98"/>
        </w:rPr>
        <w:t xml:space="preserve">A. </w:t>
      </w:r>
      <w:r w:rsidR="00301BF0" w:rsidRPr="00EC2ED0">
        <w:rPr>
          <w:color w:val="000000" w:themeColor="text1"/>
          <w:w w:val="98"/>
        </w:rPr>
        <w:t>Sample characteristics</w:t>
      </w:r>
    </w:p>
    <w:p w14:paraId="516D7D21" w14:textId="77777777" w:rsidR="00AE3678" w:rsidRPr="00EC2ED0" w:rsidRDefault="00AE3678" w:rsidP="00AE3678">
      <w:pPr>
        <w:spacing w:line="360" w:lineRule="auto"/>
        <w:rPr>
          <w:color w:val="000000" w:themeColor="text1"/>
        </w:rPr>
      </w:pPr>
    </w:p>
    <w:p w14:paraId="05A616CC" w14:textId="01A74C8B" w:rsidR="005C44D4" w:rsidRPr="00EC2ED0" w:rsidRDefault="007A3F50" w:rsidP="000F3D11">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 xml:space="preserve">The sample includes respondents who hold key roles in supply chain and logistics functions. For this reason, the evaluations are grounded in direct operational experience. </w:t>
      </w:r>
    </w:p>
    <w:p w14:paraId="647E1850" w14:textId="212CDCBC" w:rsidR="00C156B1" w:rsidRPr="00EC2ED0" w:rsidRDefault="00C156B1" w:rsidP="00C156B1">
      <w:pPr>
        <w:pStyle w:val="Caption"/>
        <w:rPr>
          <w:color w:val="000000" w:themeColor="text1"/>
        </w:rPr>
      </w:pPr>
      <w:r w:rsidRPr="00EC2ED0">
        <w:rPr>
          <w:b/>
          <w:bCs/>
          <w:color w:val="000000" w:themeColor="text1"/>
        </w:rPr>
        <w:t xml:space="preserve">Table </w:t>
      </w:r>
      <w:r w:rsidRPr="00EC2ED0">
        <w:rPr>
          <w:b/>
          <w:bCs/>
          <w:color w:val="000000" w:themeColor="text1"/>
        </w:rPr>
        <w:fldChar w:fldCharType="begin"/>
      </w:r>
      <w:r w:rsidRPr="00EC2ED0">
        <w:rPr>
          <w:b/>
          <w:bCs/>
          <w:color w:val="000000" w:themeColor="text1"/>
        </w:rPr>
        <w:instrText xml:space="preserve"> SEQ Table \* ARABIC </w:instrText>
      </w:r>
      <w:r w:rsidRPr="00EC2ED0">
        <w:rPr>
          <w:b/>
          <w:bCs/>
          <w:color w:val="000000" w:themeColor="text1"/>
        </w:rPr>
        <w:fldChar w:fldCharType="separate"/>
      </w:r>
      <w:r w:rsidR="004E3278" w:rsidRPr="00EC2ED0">
        <w:rPr>
          <w:b/>
          <w:bCs/>
          <w:noProof/>
          <w:color w:val="000000" w:themeColor="text1"/>
        </w:rPr>
        <w:t>1</w:t>
      </w:r>
      <w:r w:rsidRPr="00EC2ED0">
        <w:rPr>
          <w:b/>
          <w:bCs/>
          <w:color w:val="000000" w:themeColor="text1"/>
        </w:rPr>
        <w:fldChar w:fldCharType="end"/>
      </w:r>
      <w:r w:rsidRPr="00EC2ED0">
        <w:rPr>
          <w:color w:val="000000" w:themeColor="text1"/>
        </w:rPr>
        <w:t xml:space="preserve">. </w:t>
      </w:r>
      <w:r w:rsidR="00F76455" w:rsidRPr="00EC2ED0">
        <w:rPr>
          <w:color w:val="000000" w:themeColor="text1"/>
        </w:rPr>
        <w:t>Sample characteristics</w:t>
      </w:r>
    </w:p>
    <w:tbl>
      <w:tblPr>
        <w:tblStyle w:val="TableGrid"/>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036"/>
        <w:gridCol w:w="1211"/>
        <w:gridCol w:w="771"/>
        <w:gridCol w:w="797"/>
      </w:tblGrid>
      <w:tr w:rsidR="00EC2ED0" w:rsidRPr="00EC2ED0" w14:paraId="02D04B8F" w14:textId="77777777" w:rsidTr="00142259">
        <w:tc>
          <w:tcPr>
            <w:tcW w:w="1036" w:type="dxa"/>
            <w:tcBorders>
              <w:top w:val="single" w:sz="12" w:space="0" w:color="auto"/>
              <w:bottom w:val="single" w:sz="12" w:space="0" w:color="auto"/>
              <w:right w:val="nil"/>
            </w:tcBorders>
            <w:vAlign w:val="center"/>
          </w:tcPr>
          <w:p w14:paraId="1B8B7B44" w14:textId="56B74442" w:rsidR="000D0435" w:rsidRPr="00EC2ED0" w:rsidRDefault="000D0435" w:rsidP="000D0435">
            <w:pPr>
              <w:pStyle w:val="Subtitle"/>
              <w:ind w:left="-111" w:right="-63"/>
              <w:jc w:val="center"/>
              <w:rPr>
                <w:color w:val="000000" w:themeColor="text1"/>
                <w:spacing w:val="-2"/>
                <w:w w:val="98"/>
                <w:sz w:val="19"/>
                <w:szCs w:val="19"/>
              </w:rPr>
            </w:pPr>
            <w:r w:rsidRPr="00EC2ED0">
              <w:rPr>
                <w:color w:val="000000" w:themeColor="text1"/>
                <w:w w:val="98"/>
              </w:rPr>
              <w:t>Characteristics</w:t>
            </w:r>
          </w:p>
        </w:tc>
        <w:tc>
          <w:tcPr>
            <w:tcW w:w="1211" w:type="dxa"/>
            <w:tcBorders>
              <w:top w:val="single" w:sz="12" w:space="0" w:color="auto"/>
              <w:left w:val="nil"/>
              <w:bottom w:val="single" w:sz="12" w:space="0" w:color="auto"/>
              <w:right w:val="nil"/>
            </w:tcBorders>
            <w:vAlign w:val="center"/>
          </w:tcPr>
          <w:p w14:paraId="5104A4F0" w14:textId="7ED2459E" w:rsidR="000D0435" w:rsidRPr="00EC2ED0" w:rsidRDefault="000D0435" w:rsidP="000D0435">
            <w:pPr>
              <w:pStyle w:val="Subtitle"/>
              <w:ind w:left="-111" w:right="-63"/>
              <w:jc w:val="center"/>
              <w:rPr>
                <w:color w:val="000000" w:themeColor="text1"/>
                <w:spacing w:val="-2"/>
                <w:w w:val="98"/>
                <w:sz w:val="19"/>
                <w:szCs w:val="19"/>
              </w:rPr>
            </w:pPr>
            <w:r w:rsidRPr="00EC2ED0">
              <w:rPr>
                <w:color w:val="000000" w:themeColor="text1"/>
                <w:w w:val="98"/>
              </w:rPr>
              <w:t>Category</w:t>
            </w:r>
          </w:p>
        </w:tc>
        <w:tc>
          <w:tcPr>
            <w:tcW w:w="771" w:type="dxa"/>
            <w:tcBorders>
              <w:top w:val="single" w:sz="12" w:space="0" w:color="auto"/>
              <w:left w:val="nil"/>
              <w:bottom w:val="single" w:sz="12" w:space="0" w:color="auto"/>
              <w:right w:val="nil"/>
            </w:tcBorders>
            <w:vAlign w:val="center"/>
          </w:tcPr>
          <w:p w14:paraId="3A385EBC" w14:textId="63C5CBC9" w:rsidR="000D0435" w:rsidRPr="00EC2ED0" w:rsidRDefault="000D0435" w:rsidP="000D0435">
            <w:pPr>
              <w:pStyle w:val="Subtitle"/>
              <w:ind w:left="-111" w:right="-63"/>
              <w:jc w:val="center"/>
              <w:rPr>
                <w:color w:val="000000" w:themeColor="text1"/>
                <w:spacing w:val="-2"/>
                <w:w w:val="98"/>
                <w:sz w:val="19"/>
                <w:szCs w:val="19"/>
              </w:rPr>
            </w:pPr>
            <w:r w:rsidRPr="00EC2ED0">
              <w:rPr>
                <w:color w:val="000000" w:themeColor="text1"/>
                <w:w w:val="98"/>
              </w:rPr>
              <w:t>Frequency</w:t>
            </w:r>
          </w:p>
        </w:tc>
        <w:tc>
          <w:tcPr>
            <w:tcW w:w="797" w:type="dxa"/>
            <w:tcBorders>
              <w:top w:val="single" w:sz="12" w:space="0" w:color="auto"/>
              <w:left w:val="nil"/>
              <w:bottom w:val="single" w:sz="12" w:space="0" w:color="auto"/>
            </w:tcBorders>
            <w:vAlign w:val="center"/>
          </w:tcPr>
          <w:p w14:paraId="1F971A15" w14:textId="3627D4EF" w:rsidR="000D0435" w:rsidRPr="00EC2ED0" w:rsidRDefault="000D0435" w:rsidP="000D0435">
            <w:pPr>
              <w:pStyle w:val="Subtitle"/>
              <w:ind w:left="-111" w:right="-63"/>
              <w:jc w:val="center"/>
              <w:rPr>
                <w:color w:val="000000" w:themeColor="text1"/>
                <w:spacing w:val="-2"/>
                <w:w w:val="98"/>
                <w:sz w:val="19"/>
                <w:szCs w:val="19"/>
              </w:rPr>
            </w:pPr>
            <w:r w:rsidRPr="00EC2ED0">
              <w:rPr>
                <w:color w:val="000000" w:themeColor="text1"/>
                <w:w w:val="98"/>
              </w:rPr>
              <w:t>Percentage (%)</w:t>
            </w:r>
          </w:p>
        </w:tc>
      </w:tr>
      <w:tr w:rsidR="00EC2ED0" w:rsidRPr="00EC2ED0" w14:paraId="39C2DD8E" w14:textId="77777777" w:rsidTr="00142259">
        <w:tc>
          <w:tcPr>
            <w:tcW w:w="1036" w:type="dxa"/>
            <w:tcBorders>
              <w:top w:val="single" w:sz="12" w:space="0" w:color="auto"/>
              <w:bottom w:val="nil"/>
              <w:right w:val="nil"/>
            </w:tcBorders>
            <w:vAlign w:val="center"/>
          </w:tcPr>
          <w:p w14:paraId="0BEF5BB5" w14:textId="3120926B" w:rsidR="000D0435" w:rsidRPr="00EC2ED0" w:rsidRDefault="000D0435" w:rsidP="000D0435">
            <w:pPr>
              <w:pStyle w:val="Subtitle"/>
              <w:ind w:left="-111" w:right="-63"/>
              <w:jc w:val="center"/>
              <w:rPr>
                <w:color w:val="000000" w:themeColor="text1"/>
                <w:spacing w:val="-2"/>
                <w:w w:val="98"/>
                <w:sz w:val="19"/>
                <w:szCs w:val="19"/>
              </w:rPr>
            </w:pPr>
            <w:r w:rsidRPr="00EC2ED0">
              <w:rPr>
                <w:color w:val="000000" w:themeColor="text1"/>
                <w:w w:val="98"/>
              </w:rPr>
              <w:t>Industry sector</w:t>
            </w:r>
          </w:p>
        </w:tc>
        <w:tc>
          <w:tcPr>
            <w:tcW w:w="1211" w:type="dxa"/>
            <w:tcBorders>
              <w:top w:val="single" w:sz="12" w:space="0" w:color="auto"/>
              <w:left w:val="nil"/>
              <w:bottom w:val="nil"/>
              <w:right w:val="nil"/>
            </w:tcBorders>
            <w:vAlign w:val="center"/>
          </w:tcPr>
          <w:p w14:paraId="789DEF6B" w14:textId="499DD22F" w:rsidR="000D0435" w:rsidRPr="00EC2ED0" w:rsidRDefault="000D0435"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Manufacturing</w:t>
            </w:r>
          </w:p>
        </w:tc>
        <w:tc>
          <w:tcPr>
            <w:tcW w:w="771" w:type="dxa"/>
            <w:tcBorders>
              <w:top w:val="single" w:sz="12" w:space="0" w:color="auto"/>
              <w:left w:val="nil"/>
              <w:bottom w:val="nil"/>
              <w:right w:val="nil"/>
            </w:tcBorders>
            <w:vAlign w:val="center"/>
          </w:tcPr>
          <w:p w14:paraId="5DF6C356" w14:textId="46954192" w:rsidR="000D0435" w:rsidRPr="00EC2ED0" w:rsidRDefault="000D0435" w:rsidP="000D0435">
            <w:pPr>
              <w:pStyle w:val="Subtitle"/>
              <w:ind w:left="-111" w:right="-63"/>
              <w:jc w:val="center"/>
              <w:rPr>
                <w:color w:val="000000" w:themeColor="text1"/>
                <w:spacing w:val="-2"/>
                <w:w w:val="98"/>
                <w:sz w:val="19"/>
                <w:szCs w:val="19"/>
              </w:rPr>
            </w:pPr>
            <w:r w:rsidRPr="00EC2ED0">
              <w:rPr>
                <w:color w:val="000000" w:themeColor="text1"/>
                <w:w w:val="98"/>
              </w:rPr>
              <w:t>30</w:t>
            </w:r>
          </w:p>
        </w:tc>
        <w:tc>
          <w:tcPr>
            <w:tcW w:w="797" w:type="dxa"/>
            <w:tcBorders>
              <w:top w:val="single" w:sz="12" w:space="0" w:color="auto"/>
              <w:left w:val="nil"/>
              <w:bottom w:val="nil"/>
            </w:tcBorders>
            <w:vAlign w:val="center"/>
          </w:tcPr>
          <w:p w14:paraId="5EB0A550" w14:textId="6701587A" w:rsidR="000D0435" w:rsidRPr="00EC2ED0" w:rsidRDefault="000D0435" w:rsidP="000D0435">
            <w:pPr>
              <w:pStyle w:val="Subtitle"/>
              <w:ind w:left="-111" w:right="-63"/>
              <w:jc w:val="center"/>
              <w:rPr>
                <w:color w:val="000000" w:themeColor="text1"/>
                <w:spacing w:val="-2"/>
                <w:w w:val="98"/>
                <w:sz w:val="19"/>
                <w:szCs w:val="19"/>
              </w:rPr>
            </w:pPr>
            <w:r w:rsidRPr="00EC2ED0">
              <w:rPr>
                <w:color w:val="000000" w:themeColor="text1"/>
                <w:w w:val="98"/>
              </w:rPr>
              <w:t>40.0</w:t>
            </w:r>
          </w:p>
        </w:tc>
      </w:tr>
      <w:tr w:rsidR="00EC2ED0" w:rsidRPr="00EC2ED0" w14:paraId="22F031D3" w14:textId="77777777" w:rsidTr="00142259">
        <w:tc>
          <w:tcPr>
            <w:tcW w:w="1036" w:type="dxa"/>
            <w:tcBorders>
              <w:top w:val="nil"/>
              <w:bottom w:val="nil"/>
              <w:right w:val="nil"/>
            </w:tcBorders>
            <w:vAlign w:val="center"/>
          </w:tcPr>
          <w:p w14:paraId="03BA7538" w14:textId="77777777" w:rsidR="000D0435" w:rsidRPr="00EC2ED0" w:rsidRDefault="000D0435" w:rsidP="000D0435">
            <w:pPr>
              <w:pStyle w:val="Subtitle"/>
              <w:ind w:left="-111" w:right="-63"/>
              <w:jc w:val="center"/>
              <w:rPr>
                <w:color w:val="000000" w:themeColor="text1"/>
                <w:spacing w:val="-2"/>
                <w:w w:val="98"/>
                <w:sz w:val="19"/>
                <w:szCs w:val="19"/>
              </w:rPr>
            </w:pPr>
          </w:p>
        </w:tc>
        <w:tc>
          <w:tcPr>
            <w:tcW w:w="1211" w:type="dxa"/>
            <w:tcBorders>
              <w:top w:val="nil"/>
              <w:left w:val="nil"/>
              <w:bottom w:val="nil"/>
              <w:right w:val="nil"/>
            </w:tcBorders>
            <w:vAlign w:val="center"/>
          </w:tcPr>
          <w:p w14:paraId="232F96A6" w14:textId="39AC2360" w:rsidR="000D0435" w:rsidRPr="00EC2ED0" w:rsidRDefault="000D0435"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Trading</w:t>
            </w:r>
          </w:p>
        </w:tc>
        <w:tc>
          <w:tcPr>
            <w:tcW w:w="771" w:type="dxa"/>
            <w:tcBorders>
              <w:top w:val="nil"/>
              <w:left w:val="nil"/>
              <w:bottom w:val="nil"/>
              <w:right w:val="nil"/>
            </w:tcBorders>
            <w:vAlign w:val="center"/>
          </w:tcPr>
          <w:p w14:paraId="73B325B5" w14:textId="1BD5F8A9" w:rsidR="000D0435" w:rsidRPr="00EC2ED0" w:rsidRDefault="000D0435" w:rsidP="000D0435">
            <w:pPr>
              <w:pStyle w:val="Subtitle"/>
              <w:ind w:left="-111" w:right="-63"/>
              <w:jc w:val="center"/>
              <w:rPr>
                <w:color w:val="000000" w:themeColor="text1"/>
                <w:spacing w:val="-2"/>
                <w:w w:val="98"/>
                <w:sz w:val="19"/>
                <w:szCs w:val="19"/>
              </w:rPr>
            </w:pPr>
            <w:r w:rsidRPr="00EC2ED0">
              <w:rPr>
                <w:color w:val="000000" w:themeColor="text1"/>
                <w:w w:val="98"/>
              </w:rPr>
              <w:t>24</w:t>
            </w:r>
          </w:p>
        </w:tc>
        <w:tc>
          <w:tcPr>
            <w:tcW w:w="797" w:type="dxa"/>
            <w:tcBorders>
              <w:top w:val="nil"/>
              <w:left w:val="nil"/>
              <w:bottom w:val="nil"/>
            </w:tcBorders>
            <w:vAlign w:val="center"/>
          </w:tcPr>
          <w:p w14:paraId="3ABA94EE" w14:textId="7AB13C9D" w:rsidR="000D0435" w:rsidRPr="00EC2ED0" w:rsidRDefault="000D0435" w:rsidP="000D0435">
            <w:pPr>
              <w:pStyle w:val="Subtitle"/>
              <w:ind w:left="-111" w:right="-63"/>
              <w:jc w:val="center"/>
              <w:rPr>
                <w:color w:val="000000" w:themeColor="text1"/>
                <w:spacing w:val="-2"/>
                <w:w w:val="98"/>
                <w:sz w:val="19"/>
                <w:szCs w:val="19"/>
              </w:rPr>
            </w:pPr>
            <w:r w:rsidRPr="00EC2ED0">
              <w:rPr>
                <w:color w:val="000000" w:themeColor="text1"/>
                <w:w w:val="98"/>
              </w:rPr>
              <w:t>32.0</w:t>
            </w:r>
          </w:p>
        </w:tc>
      </w:tr>
      <w:tr w:rsidR="00EC2ED0" w:rsidRPr="00EC2ED0" w14:paraId="72AD723F" w14:textId="77777777" w:rsidTr="00142259">
        <w:tc>
          <w:tcPr>
            <w:tcW w:w="1036" w:type="dxa"/>
            <w:tcBorders>
              <w:top w:val="nil"/>
              <w:bottom w:val="nil"/>
              <w:right w:val="nil"/>
            </w:tcBorders>
            <w:vAlign w:val="center"/>
          </w:tcPr>
          <w:p w14:paraId="73B42A70" w14:textId="77777777" w:rsidR="000D0435" w:rsidRPr="00EC2ED0" w:rsidRDefault="000D0435" w:rsidP="000D0435">
            <w:pPr>
              <w:pStyle w:val="Subtitle"/>
              <w:ind w:left="-111" w:right="-63"/>
              <w:jc w:val="center"/>
              <w:rPr>
                <w:color w:val="000000" w:themeColor="text1"/>
                <w:spacing w:val="-2"/>
                <w:w w:val="98"/>
                <w:sz w:val="19"/>
                <w:szCs w:val="19"/>
              </w:rPr>
            </w:pPr>
          </w:p>
        </w:tc>
        <w:tc>
          <w:tcPr>
            <w:tcW w:w="1211" w:type="dxa"/>
            <w:tcBorders>
              <w:top w:val="nil"/>
              <w:left w:val="nil"/>
              <w:bottom w:val="nil"/>
              <w:right w:val="nil"/>
            </w:tcBorders>
            <w:vAlign w:val="center"/>
          </w:tcPr>
          <w:p w14:paraId="61CD1321" w14:textId="2599B970" w:rsidR="000D0435" w:rsidRPr="00EC2ED0" w:rsidRDefault="000D0435"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Logistics/3PL</w:t>
            </w:r>
          </w:p>
        </w:tc>
        <w:tc>
          <w:tcPr>
            <w:tcW w:w="771" w:type="dxa"/>
            <w:tcBorders>
              <w:top w:val="nil"/>
              <w:left w:val="nil"/>
              <w:bottom w:val="nil"/>
              <w:right w:val="nil"/>
            </w:tcBorders>
            <w:vAlign w:val="center"/>
          </w:tcPr>
          <w:p w14:paraId="1363D05A" w14:textId="5543A3A2" w:rsidR="000D0435" w:rsidRPr="00EC2ED0" w:rsidRDefault="000D0435" w:rsidP="000D0435">
            <w:pPr>
              <w:pStyle w:val="Subtitle"/>
              <w:ind w:left="-111" w:right="-63"/>
              <w:jc w:val="center"/>
              <w:rPr>
                <w:color w:val="000000" w:themeColor="text1"/>
                <w:spacing w:val="-2"/>
                <w:w w:val="98"/>
                <w:sz w:val="19"/>
                <w:szCs w:val="19"/>
              </w:rPr>
            </w:pPr>
            <w:r w:rsidRPr="00EC2ED0">
              <w:rPr>
                <w:color w:val="000000" w:themeColor="text1"/>
                <w:w w:val="98"/>
              </w:rPr>
              <w:t>14</w:t>
            </w:r>
          </w:p>
        </w:tc>
        <w:tc>
          <w:tcPr>
            <w:tcW w:w="797" w:type="dxa"/>
            <w:tcBorders>
              <w:top w:val="nil"/>
              <w:left w:val="nil"/>
              <w:bottom w:val="nil"/>
            </w:tcBorders>
            <w:vAlign w:val="center"/>
          </w:tcPr>
          <w:p w14:paraId="773CCDBB" w14:textId="1EE94E67" w:rsidR="000D0435" w:rsidRPr="00EC2ED0" w:rsidRDefault="000D0435" w:rsidP="000D0435">
            <w:pPr>
              <w:pStyle w:val="Subtitle"/>
              <w:ind w:left="-111" w:right="-63"/>
              <w:jc w:val="center"/>
              <w:rPr>
                <w:color w:val="000000" w:themeColor="text1"/>
                <w:spacing w:val="-2"/>
                <w:w w:val="98"/>
                <w:sz w:val="19"/>
                <w:szCs w:val="19"/>
              </w:rPr>
            </w:pPr>
            <w:r w:rsidRPr="00EC2ED0">
              <w:rPr>
                <w:color w:val="000000" w:themeColor="text1"/>
                <w:w w:val="98"/>
              </w:rPr>
              <w:t>18.7</w:t>
            </w:r>
          </w:p>
        </w:tc>
      </w:tr>
      <w:tr w:rsidR="00EC2ED0" w:rsidRPr="00EC2ED0" w14:paraId="26CD085F" w14:textId="77777777" w:rsidTr="00142259">
        <w:tc>
          <w:tcPr>
            <w:tcW w:w="1036" w:type="dxa"/>
            <w:tcBorders>
              <w:top w:val="nil"/>
              <w:bottom w:val="single" w:sz="8" w:space="0" w:color="auto"/>
              <w:right w:val="nil"/>
            </w:tcBorders>
            <w:vAlign w:val="center"/>
          </w:tcPr>
          <w:p w14:paraId="0304C9B6" w14:textId="77777777" w:rsidR="000D0435" w:rsidRPr="00EC2ED0" w:rsidRDefault="000D0435" w:rsidP="000D0435">
            <w:pPr>
              <w:pStyle w:val="Subtitle"/>
              <w:ind w:left="-111" w:right="-63"/>
              <w:jc w:val="center"/>
              <w:rPr>
                <w:color w:val="000000" w:themeColor="text1"/>
                <w:spacing w:val="-2"/>
                <w:w w:val="98"/>
                <w:sz w:val="19"/>
                <w:szCs w:val="19"/>
              </w:rPr>
            </w:pPr>
          </w:p>
        </w:tc>
        <w:tc>
          <w:tcPr>
            <w:tcW w:w="1211" w:type="dxa"/>
            <w:tcBorders>
              <w:top w:val="nil"/>
              <w:left w:val="nil"/>
              <w:bottom w:val="single" w:sz="8" w:space="0" w:color="auto"/>
              <w:right w:val="nil"/>
            </w:tcBorders>
            <w:vAlign w:val="center"/>
          </w:tcPr>
          <w:p w14:paraId="69BAF11B" w14:textId="77718302" w:rsidR="000D0435" w:rsidRPr="00EC2ED0" w:rsidRDefault="000D0435"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Others</w:t>
            </w:r>
          </w:p>
        </w:tc>
        <w:tc>
          <w:tcPr>
            <w:tcW w:w="771" w:type="dxa"/>
            <w:tcBorders>
              <w:top w:val="nil"/>
              <w:left w:val="nil"/>
              <w:bottom w:val="single" w:sz="8" w:space="0" w:color="auto"/>
              <w:right w:val="nil"/>
            </w:tcBorders>
            <w:vAlign w:val="center"/>
          </w:tcPr>
          <w:p w14:paraId="43C0762C" w14:textId="58BBC967" w:rsidR="000D0435" w:rsidRPr="00EC2ED0" w:rsidRDefault="000D0435" w:rsidP="000D0435">
            <w:pPr>
              <w:pStyle w:val="Subtitle"/>
              <w:ind w:left="-111" w:right="-63"/>
              <w:jc w:val="center"/>
              <w:rPr>
                <w:color w:val="000000" w:themeColor="text1"/>
                <w:spacing w:val="-2"/>
                <w:w w:val="98"/>
                <w:sz w:val="19"/>
                <w:szCs w:val="19"/>
              </w:rPr>
            </w:pPr>
            <w:r w:rsidRPr="00EC2ED0">
              <w:rPr>
                <w:color w:val="000000" w:themeColor="text1"/>
                <w:w w:val="98"/>
              </w:rPr>
              <w:t>7</w:t>
            </w:r>
          </w:p>
        </w:tc>
        <w:tc>
          <w:tcPr>
            <w:tcW w:w="797" w:type="dxa"/>
            <w:tcBorders>
              <w:top w:val="nil"/>
              <w:left w:val="nil"/>
              <w:bottom w:val="single" w:sz="8" w:space="0" w:color="auto"/>
            </w:tcBorders>
            <w:vAlign w:val="center"/>
          </w:tcPr>
          <w:p w14:paraId="49824CE7" w14:textId="372A60FD" w:rsidR="000D0435" w:rsidRPr="00EC2ED0" w:rsidRDefault="000D0435" w:rsidP="000D0435">
            <w:pPr>
              <w:pStyle w:val="Subtitle"/>
              <w:ind w:left="-111" w:right="-63"/>
              <w:jc w:val="center"/>
              <w:rPr>
                <w:color w:val="000000" w:themeColor="text1"/>
                <w:spacing w:val="-2"/>
                <w:w w:val="98"/>
                <w:sz w:val="19"/>
                <w:szCs w:val="19"/>
              </w:rPr>
            </w:pPr>
            <w:r w:rsidRPr="00EC2ED0">
              <w:rPr>
                <w:color w:val="000000" w:themeColor="text1"/>
                <w:w w:val="98"/>
              </w:rPr>
              <w:t>9.3</w:t>
            </w:r>
          </w:p>
        </w:tc>
      </w:tr>
      <w:tr w:rsidR="00EC2ED0" w:rsidRPr="00EC2ED0" w14:paraId="16DDFDD4" w14:textId="77777777" w:rsidTr="00142259">
        <w:tc>
          <w:tcPr>
            <w:tcW w:w="1036" w:type="dxa"/>
            <w:vMerge w:val="restart"/>
            <w:tcBorders>
              <w:top w:val="single" w:sz="8" w:space="0" w:color="auto"/>
              <w:right w:val="nil"/>
            </w:tcBorders>
            <w:vAlign w:val="center"/>
          </w:tcPr>
          <w:p w14:paraId="22C6DECF" w14:textId="6FD7AB50"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Firm size (employees)</w:t>
            </w:r>
          </w:p>
        </w:tc>
        <w:tc>
          <w:tcPr>
            <w:tcW w:w="1211" w:type="dxa"/>
            <w:tcBorders>
              <w:top w:val="single" w:sz="8" w:space="0" w:color="auto"/>
              <w:left w:val="nil"/>
              <w:bottom w:val="nil"/>
              <w:right w:val="nil"/>
            </w:tcBorders>
            <w:vAlign w:val="center"/>
          </w:tcPr>
          <w:p w14:paraId="425E6AD0" w14:textId="3FD4215C" w:rsidR="000F48D1" w:rsidRPr="00EC2ED0" w:rsidRDefault="000F48D1"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&lt; 200</w:t>
            </w:r>
          </w:p>
        </w:tc>
        <w:tc>
          <w:tcPr>
            <w:tcW w:w="771" w:type="dxa"/>
            <w:tcBorders>
              <w:top w:val="single" w:sz="8" w:space="0" w:color="auto"/>
              <w:left w:val="nil"/>
              <w:bottom w:val="nil"/>
              <w:right w:val="nil"/>
            </w:tcBorders>
            <w:vAlign w:val="center"/>
          </w:tcPr>
          <w:p w14:paraId="3B348F92" w14:textId="4810A5A8"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46</w:t>
            </w:r>
          </w:p>
        </w:tc>
        <w:tc>
          <w:tcPr>
            <w:tcW w:w="797" w:type="dxa"/>
            <w:tcBorders>
              <w:top w:val="single" w:sz="8" w:space="0" w:color="auto"/>
              <w:left w:val="nil"/>
              <w:bottom w:val="nil"/>
            </w:tcBorders>
            <w:vAlign w:val="center"/>
          </w:tcPr>
          <w:p w14:paraId="6A749DFE" w14:textId="41AFF2B3"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61.3</w:t>
            </w:r>
          </w:p>
        </w:tc>
      </w:tr>
      <w:tr w:rsidR="00EC2ED0" w:rsidRPr="00EC2ED0" w14:paraId="1334B27A" w14:textId="77777777" w:rsidTr="00142259">
        <w:tc>
          <w:tcPr>
            <w:tcW w:w="1036" w:type="dxa"/>
            <w:vMerge/>
            <w:tcBorders>
              <w:right w:val="nil"/>
            </w:tcBorders>
            <w:vAlign w:val="center"/>
          </w:tcPr>
          <w:p w14:paraId="5D5F7EB6" w14:textId="77777777" w:rsidR="000F48D1" w:rsidRPr="00EC2ED0" w:rsidRDefault="000F48D1" w:rsidP="000D0435">
            <w:pPr>
              <w:pStyle w:val="Subtitle"/>
              <w:ind w:left="-111" w:right="-63"/>
              <w:jc w:val="center"/>
              <w:rPr>
                <w:color w:val="000000" w:themeColor="text1"/>
                <w:spacing w:val="-2"/>
                <w:w w:val="98"/>
                <w:sz w:val="19"/>
                <w:szCs w:val="19"/>
              </w:rPr>
            </w:pPr>
          </w:p>
        </w:tc>
        <w:tc>
          <w:tcPr>
            <w:tcW w:w="1211" w:type="dxa"/>
            <w:tcBorders>
              <w:top w:val="nil"/>
              <w:left w:val="nil"/>
              <w:bottom w:val="nil"/>
              <w:right w:val="nil"/>
            </w:tcBorders>
            <w:vAlign w:val="center"/>
          </w:tcPr>
          <w:p w14:paraId="338CFE02" w14:textId="15FEA09C" w:rsidR="000F48D1" w:rsidRPr="00EC2ED0" w:rsidRDefault="000F48D1"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200–500</w:t>
            </w:r>
          </w:p>
        </w:tc>
        <w:tc>
          <w:tcPr>
            <w:tcW w:w="771" w:type="dxa"/>
            <w:tcBorders>
              <w:top w:val="nil"/>
              <w:left w:val="nil"/>
              <w:bottom w:val="nil"/>
              <w:right w:val="nil"/>
            </w:tcBorders>
            <w:vAlign w:val="center"/>
          </w:tcPr>
          <w:p w14:paraId="42F9702A" w14:textId="64644382"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20</w:t>
            </w:r>
          </w:p>
        </w:tc>
        <w:tc>
          <w:tcPr>
            <w:tcW w:w="797" w:type="dxa"/>
            <w:tcBorders>
              <w:top w:val="nil"/>
              <w:left w:val="nil"/>
              <w:bottom w:val="nil"/>
            </w:tcBorders>
            <w:vAlign w:val="center"/>
          </w:tcPr>
          <w:p w14:paraId="7650C223" w14:textId="757EACF6"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26.7</w:t>
            </w:r>
          </w:p>
        </w:tc>
      </w:tr>
      <w:tr w:rsidR="00EC2ED0" w:rsidRPr="00EC2ED0" w14:paraId="6BF817FA" w14:textId="77777777" w:rsidTr="00142259">
        <w:tc>
          <w:tcPr>
            <w:tcW w:w="1036" w:type="dxa"/>
            <w:vMerge/>
            <w:tcBorders>
              <w:bottom w:val="single" w:sz="8" w:space="0" w:color="auto"/>
              <w:right w:val="nil"/>
            </w:tcBorders>
            <w:vAlign w:val="center"/>
          </w:tcPr>
          <w:p w14:paraId="67AFAC3D" w14:textId="77777777" w:rsidR="000F48D1" w:rsidRPr="00EC2ED0" w:rsidRDefault="000F48D1" w:rsidP="000D0435">
            <w:pPr>
              <w:pStyle w:val="Subtitle"/>
              <w:ind w:left="-111" w:right="-63"/>
              <w:jc w:val="center"/>
              <w:rPr>
                <w:color w:val="000000" w:themeColor="text1"/>
                <w:spacing w:val="-2"/>
                <w:w w:val="98"/>
                <w:sz w:val="19"/>
                <w:szCs w:val="19"/>
              </w:rPr>
            </w:pPr>
          </w:p>
        </w:tc>
        <w:tc>
          <w:tcPr>
            <w:tcW w:w="1211" w:type="dxa"/>
            <w:tcBorders>
              <w:top w:val="nil"/>
              <w:left w:val="nil"/>
              <w:bottom w:val="single" w:sz="8" w:space="0" w:color="auto"/>
              <w:right w:val="nil"/>
            </w:tcBorders>
            <w:vAlign w:val="center"/>
          </w:tcPr>
          <w:p w14:paraId="596F89A8" w14:textId="17BE584C" w:rsidR="000F48D1" w:rsidRPr="00EC2ED0" w:rsidRDefault="000F48D1"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&gt; 500</w:t>
            </w:r>
          </w:p>
        </w:tc>
        <w:tc>
          <w:tcPr>
            <w:tcW w:w="771" w:type="dxa"/>
            <w:tcBorders>
              <w:top w:val="nil"/>
              <w:left w:val="nil"/>
              <w:bottom w:val="single" w:sz="8" w:space="0" w:color="auto"/>
              <w:right w:val="nil"/>
            </w:tcBorders>
            <w:vAlign w:val="center"/>
          </w:tcPr>
          <w:p w14:paraId="2700E8A5" w14:textId="7C4E2A0E"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9</w:t>
            </w:r>
          </w:p>
        </w:tc>
        <w:tc>
          <w:tcPr>
            <w:tcW w:w="797" w:type="dxa"/>
            <w:tcBorders>
              <w:top w:val="nil"/>
              <w:left w:val="nil"/>
              <w:bottom w:val="single" w:sz="8" w:space="0" w:color="auto"/>
            </w:tcBorders>
            <w:vAlign w:val="center"/>
          </w:tcPr>
          <w:p w14:paraId="68E9CA05" w14:textId="5DB0621B"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12.0</w:t>
            </w:r>
          </w:p>
        </w:tc>
      </w:tr>
      <w:tr w:rsidR="00EC2ED0" w:rsidRPr="00EC2ED0" w14:paraId="09EE1A2D" w14:textId="77777777" w:rsidTr="00142259">
        <w:tc>
          <w:tcPr>
            <w:tcW w:w="1036" w:type="dxa"/>
            <w:vMerge w:val="restart"/>
            <w:tcBorders>
              <w:top w:val="single" w:sz="8" w:space="0" w:color="auto"/>
              <w:right w:val="nil"/>
            </w:tcBorders>
            <w:vAlign w:val="center"/>
          </w:tcPr>
          <w:p w14:paraId="27BCBCD2" w14:textId="52B08BEF"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Respondent position</w:t>
            </w:r>
          </w:p>
        </w:tc>
        <w:tc>
          <w:tcPr>
            <w:tcW w:w="1211" w:type="dxa"/>
            <w:tcBorders>
              <w:top w:val="single" w:sz="8" w:space="0" w:color="auto"/>
              <w:left w:val="nil"/>
              <w:bottom w:val="nil"/>
              <w:right w:val="nil"/>
            </w:tcBorders>
            <w:vAlign w:val="center"/>
          </w:tcPr>
          <w:p w14:paraId="0EA48674" w14:textId="0FB67260" w:rsidR="000F48D1" w:rsidRPr="00EC2ED0" w:rsidRDefault="000F48D1"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Manager</w:t>
            </w:r>
          </w:p>
        </w:tc>
        <w:tc>
          <w:tcPr>
            <w:tcW w:w="771" w:type="dxa"/>
            <w:tcBorders>
              <w:top w:val="single" w:sz="8" w:space="0" w:color="auto"/>
              <w:left w:val="nil"/>
              <w:bottom w:val="nil"/>
              <w:right w:val="nil"/>
            </w:tcBorders>
            <w:vAlign w:val="center"/>
          </w:tcPr>
          <w:p w14:paraId="58C6D287" w14:textId="309C2A48"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42</w:t>
            </w:r>
          </w:p>
        </w:tc>
        <w:tc>
          <w:tcPr>
            <w:tcW w:w="797" w:type="dxa"/>
            <w:tcBorders>
              <w:top w:val="single" w:sz="8" w:space="0" w:color="auto"/>
              <w:left w:val="nil"/>
              <w:bottom w:val="nil"/>
            </w:tcBorders>
            <w:vAlign w:val="center"/>
          </w:tcPr>
          <w:p w14:paraId="5E875C55" w14:textId="720ECB18"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56.0</w:t>
            </w:r>
          </w:p>
        </w:tc>
      </w:tr>
      <w:tr w:rsidR="00EC2ED0" w:rsidRPr="00EC2ED0" w14:paraId="6ECB6710" w14:textId="77777777" w:rsidTr="00142259">
        <w:tc>
          <w:tcPr>
            <w:tcW w:w="1036" w:type="dxa"/>
            <w:vMerge/>
            <w:tcBorders>
              <w:bottom w:val="single" w:sz="4" w:space="0" w:color="auto"/>
              <w:right w:val="nil"/>
            </w:tcBorders>
            <w:vAlign w:val="center"/>
          </w:tcPr>
          <w:p w14:paraId="0E6ED60A" w14:textId="77777777" w:rsidR="000F48D1" w:rsidRPr="00EC2ED0" w:rsidRDefault="000F48D1" w:rsidP="000D0435">
            <w:pPr>
              <w:pStyle w:val="Subtitle"/>
              <w:ind w:left="-111" w:right="-63"/>
              <w:jc w:val="center"/>
              <w:rPr>
                <w:color w:val="000000" w:themeColor="text1"/>
                <w:spacing w:val="-2"/>
                <w:w w:val="98"/>
                <w:sz w:val="19"/>
                <w:szCs w:val="19"/>
              </w:rPr>
            </w:pPr>
          </w:p>
        </w:tc>
        <w:tc>
          <w:tcPr>
            <w:tcW w:w="1211" w:type="dxa"/>
            <w:tcBorders>
              <w:top w:val="nil"/>
              <w:left w:val="nil"/>
              <w:bottom w:val="single" w:sz="4" w:space="0" w:color="auto"/>
              <w:right w:val="nil"/>
            </w:tcBorders>
            <w:vAlign w:val="center"/>
          </w:tcPr>
          <w:p w14:paraId="4D15FF1F" w14:textId="3D4F028D" w:rsidR="000F48D1" w:rsidRPr="00EC2ED0" w:rsidRDefault="000F48D1"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Logistics staff</w:t>
            </w:r>
          </w:p>
        </w:tc>
        <w:tc>
          <w:tcPr>
            <w:tcW w:w="771" w:type="dxa"/>
            <w:tcBorders>
              <w:top w:val="nil"/>
              <w:left w:val="nil"/>
              <w:bottom w:val="single" w:sz="4" w:space="0" w:color="auto"/>
              <w:right w:val="nil"/>
            </w:tcBorders>
            <w:vAlign w:val="center"/>
          </w:tcPr>
          <w:p w14:paraId="5FE918A8" w14:textId="52D6E66A"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33</w:t>
            </w:r>
          </w:p>
        </w:tc>
        <w:tc>
          <w:tcPr>
            <w:tcW w:w="797" w:type="dxa"/>
            <w:tcBorders>
              <w:top w:val="nil"/>
              <w:left w:val="nil"/>
              <w:bottom w:val="single" w:sz="4" w:space="0" w:color="auto"/>
            </w:tcBorders>
            <w:vAlign w:val="center"/>
          </w:tcPr>
          <w:p w14:paraId="0C63E16A" w14:textId="195258A9"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44.0</w:t>
            </w:r>
          </w:p>
        </w:tc>
      </w:tr>
      <w:tr w:rsidR="00EC2ED0" w:rsidRPr="00EC2ED0" w14:paraId="757783A2" w14:textId="77777777" w:rsidTr="00142259">
        <w:tc>
          <w:tcPr>
            <w:tcW w:w="1036" w:type="dxa"/>
            <w:vMerge w:val="restart"/>
            <w:tcBorders>
              <w:top w:val="single" w:sz="4" w:space="0" w:color="auto"/>
              <w:bottom w:val="nil"/>
              <w:right w:val="nil"/>
            </w:tcBorders>
            <w:vAlign w:val="center"/>
          </w:tcPr>
          <w:p w14:paraId="0C3DBC90" w14:textId="0720114E"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Length of service relationship</w:t>
            </w:r>
          </w:p>
        </w:tc>
        <w:tc>
          <w:tcPr>
            <w:tcW w:w="1211" w:type="dxa"/>
            <w:tcBorders>
              <w:top w:val="single" w:sz="4" w:space="0" w:color="auto"/>
              <w:left w:val="nil"/>
              <w:bottom w:val="nil"/>
              <w:right w:val="nil"/>
            </w:tcBorders>
            <w:vAlign w:val="center"/>
          </w:tcPr>
          <w:p w14:paraId="37779B95" w14:textId="7444A2DE" w:rsidR="000F48D1" w:rsidRPr="00EC2ED0" w:rsidRDefault="000F48D1"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&lt; 1 year</w:t>
            </w:r>
          </w:p>
        </w:tc>
        <w:tc>
          <w:tcPr>
            <w:tcW w:w="771" w:type="dxa"/>
            <w:tcBorders>
              <w:top w:val="single" w:sz="4" w:space="0" w:color="auto"/>
              <w:left w:val="nil"/>
              <w:bottom w:val="nil"/>
              <w:right w:val="nil"/>
            </w:tcBorders>
            <w:vAlign w:val="center"/>
          </w:tcPr>
          <w:p w14:paraId="0298709C" w14:textId="08290E12"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13</w:t>
            </w:r>
          </w:p>
        </w:tc>
        <w:tc>
          <w:tcPr>
            <w:tcW w:w="797" w:type="dxa"/>
            <w:tcBorders>
              <w:top w:val="single" w:sz="4" w:space="0" w:color="auto"/>
              <w:left w:val="nil"/>
              <w:bottom w:val="nil"/>
            </w:tcBorders>
            <w:vAlign w:val="center"/>
          </w:tcPr>
          <w:p w14:paraId="2D24BD1B" w14:textId="2A0D7FEA"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17.3</w:t>
            </w:r>
          </w:p>
        </w:tc>
      </w:tr>
      <w:tr w:rsidR="00EC2ED0" w:rsidRPr="00EC2ED0" w14:paraId="6B63681F" w14:textId="77777777" w:rsidTr="00142259">
        <w:tc>
          <w:tcPr>
            <w:tcW w:w="1036" w:type="dxa"/>
            <w:vMerge/>
            <w:tcBorders>
              <w:top w:val="nil"/>
              <w:bottom w:val="nil"/>
              <w:right w:val="nil"/>
            </w:tcBorders>
            <w:vAlign w:val="center"/>
          </w:tcPr>
          <w:p w14:paraId="0501D1FF" w14:textId="77777777" w:rsidR="000F48D1" w:rsidRPr="00EC2ED0" w:rsidRDefault="000F48D1" w:rsidP="000D0435">
            <w:pPr>
              <w:pStyle w:val="Subtitle"/>
              <w:ind w:left="-111" w:right="-63"/>
              <w:jc w:val="center"/>
              <w:rPr>
                <w:color w:val="000000" w:themeColor="text1"/>
                <w:spacing w:val="-2"/>
                <w:w w:val="98"/>
                <w:sz w:val="19"/>
                <w:szCs w:val="19"/>
              </w:rPr>
            </w:pPr>
          </w:p>
        </w:tc>
        <w:tc>
          <w:tcPr>
            <w:tcW w:w="1211" w:type="dxa"/>
            <w:tcBorders>
              <w:top w:val="nil"/>
              <w:left w:val="nil"/>
              <w:bottom w:val="nil"/>
              <w:right w:val="nil"/>
            </w:tcBorders>
            <w:vAlign w:val="center"/>
          </w:tcPr>
          <w:p w14:paraId="31E1C5BB" w14:textId="62F0F066" w:rsidR="000F48D1" w:rsidRPr="00EC2ED0" w:rsidRDefault="000F48D1"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1–3 years</w:t>
            </w:r>
          </w:p>
        </w:tc>
        <w:tc>
          <w:tcPr>
            <w:tcW w:w="771" w:type="dxa"/>
            <w:tcBorders>
              <w:top w:val="nil"/>
              <w:left w:val="nil"/>
              <w:bottom w:val="nil"/>
              <w:right w:val="nil"/>
            </w:tcBorders>
            <w:vAlign w:val="center"/>
          </w:tcPr>
          <w:p w14:paraId="3D6B6336" w14:textId="50436254"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26</w:t>
            </w:r>
          </w:p>
        </w:tc>
        <w:tc>
          <w:tcPr>
            <w:tcW w:w="797" w:type="dxa"/>
            <w:tcBorders>
              <w:top w:val="nil"/>
              <w:left w:val="nil"/>
              <w:bottom w:val="nil"/>
            </w:tcBorders>
            <w:vAlign w:val="center"/>
          </w:tcPr>
          <w:p w14:paraId="5BC9E502" w14:textId="44201239"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34.7</w:t>
            </w:r>
          </w:p>
        </w:tc>
      </w:tr>
      <w:tr w:rsidR="00EC2ED0" w:rsidRPr="00EC2ED0" w14:paraId="15C494C6" w14:textId="77777777" w:rsidTr="00142259">
        <w:tc>
          <w:tcPr>
            <w:tcW w:w="1036" w:type="dxa"/>
            <w:vMerge/>
            <w:tcBorders>
              <w:top w:val="nil"/>
              <w:bottom w:val="single" w:sz="4" w:space="0" w:color="auto"/>
              <w:right w:val="nil"/>
            </w:tcBorders>
            <w:vAlign w:val="center"/>
          </w:tcPr>
          <w:p w14:paraId="5F9E6AC4" w14:textId="77777777" w:rsidR="000F48D1" w:rsidRPr="00EC2ED0" w:rsidRDefault="000F48D1" w:rsidP="000D0435">
            <w:pPr>
              <w:pStyle w:val="Subtitle"/>
              <w:ind w:left="-111" w:right="-63"/>
              <w:jc w:val="center"/>
              <w:rPr>
                <w:color w:val="000000" w:themeColor="text1"/>
                <w:spacing w:val="-2"/>
                <w:w w:val="98"/>
                <w:sz w:val="19"/>
                <w:szCs w:val="19"/>
              </w:rPr>
            </w:pPr>
          </w:p>
        </w:tc>
        <w:tc>
          <w:tcPr>
            <w:tcW w:w="1211" w:type="dxa"/>
            <w:tcBorders>
              <w:top w:val="nil"/>
              <w:left w:val="nil"/>
              <w:bottom w:val="single" w:sz="4" w:space="0" w:color="auto"/>
              <w:right w:val="nil"/>
            </w:tcBorders>
            <w:vAlign w:val="center"/>
          </w:tcPr>
          <w:p w14:paraId="5B72C4A2" w14:textId="1D67E927" w:rsidR="000F48D1" w:rsidRPr="00EC2ED0" w:rsidRDefault="000F48D1"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&gt; 3 years</w:t>
            </w:r>
          </w:p>
        </w:tc>
        <w:tc>
          <w:tcPr>
            <w:tcW w:w="771" w:type="dxa"/>
            <w:tcBorders>
              <w:top w:val="nil"/>
              <w:left w:val="nil"/>
              <w:bottom w:val="single" w:sz="4" w:space="0" w:color="auto"/>
              <w:right w:val="nil"/>
            </w:tcBorders>
            <w:vAlign w:val="center"/>
          </w:tcPr>
          <w:p w14:paraId="5CEE561D" w14:textId="36684BD8"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36</w:t>
            </w:r>
          </w:p>
        </w:tc>
        <w:tc>
          <w:tcPr>
            <w:tcW w:w="797" w:type="dxa"/>
            <w:tcBorders>
              <w:top w:val="nil"/>
              <w:left w:val="nil"/>
              <w:bottom w:val="single" w:sz="4" w:space="0" w:color="auto"/>
            </w:tcBorders>
            <w:vAlign w:val="center"/>
          </w:tcPr>
          <w:p w14:paraId="3E6A7984" w14:textId="5A326CAB" w:rsidR="000F48D1" w:rsidRPr="00EC2ED0" w:rsidRDefault="000F48D1" w:rsidP="000D0435">
            <w:pPr>
              <w:pStyle w:val="Subtitle"/>
              <w:ind w:left="-111" w:right="-63"/>
              <w:jc w:val="center"/>
              <w:rPr>
                <w:color w:val="000000" w:themeColor="text1"/>
                <w:spacing w:val="-2"/>
                <w:w w:val="98"/>
                <w:sz w:val="19"/>
                <w:szCs w:val="19"/>
              </w:rPr>
            </w:pPr>
            <w:r w:rsidRPr="00EC2ED0">
              <w:rPr>
                <w:color w:val="000000" w:themeColor="text1"/>
                <w:w w:val="98"/>
              </w:rPr>
              <w:t>48.0</w:t>
            </w:r>
          </w:p>
        </w:tc>
      </w:tr>
      <w:tr w:rsidR="00EC2ED0" w:rsidRPr="00EC2ED0" w14:paraId="49499477" w14:textId="77777777" w:rsidTr="00142259">
        <w:tc>
          <w:tcPr>
            <w:tcW w:w="1036" w:type="dxa"/>
            <w:vMerge w:val="restart"/>
            <w:tcBorders>
              <w:top w:val="single" w:sz="4" w:space="0" w:color="auto"/>
              <w:right w:val="nil"/>
            </w:tcBorders>
            <w:vAlign w:val="center"/>
          </w:tcPr>
          <w:p w14:paraId="318C1EE9" w14:textId="5B7FB5BC" w:rsidR="00472684" w:rsidRPr="00EC2ED0" w:rsidRDefault="00472684" w:rsidP="000D0435">
            <w:pPr>
              <w:pStyle w:val="Subtitle"/>
              <w:ind w:left="-111" w:right="-63"/>
              <w:jc w:val="center"/>
              <w:rPr>
                <w:color w:val="000000" w:themeColor="text1"/>
                <w:spacing w:val="-2"/>
                <w:w w:val="98"/>
                <w:sz w:val="19"/>
                <w:szCs w:val="19"/>
              </w:rPr>
            </w:pPr>
            <w:r w:rsidRPr="00EC2ED0">
              <w:rPr>
                <w:color w:val="000000" w:themeColor="text1"/>
                <w:w w:val="98"/>
              </w:rPr>
              <w:t>FCL usage frequency</w:t>
            </w:r>
          </w:p>
        </w:tc>
        <w:tc>
          <w:tcPr>
            <w:tcW w:w="1211" w:type="dxa"/>
            <w:tcBorders>
              <w:top w:val="single" w:sz="4" w:space="0" w:color="auto"/>
              <w:left w:val="nil"/>
              <w:bottom w:val="nil"/>
              <w:right w:val="nil"/>
            </w:tcBorders>
            <w:vAlign w:val="center"/>
          </w:tcPr>
          <w:p w14:paraId="678AA636" w14:textId="4D6BD06D" w:rsidR="00472684" w:rsidRPr="00EC2ED0" w:rsidRDefault="00472684"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Frequent (&gt;10 shipments/year)</w:t>
            </w:r>
          </w:p>
        </w:tc>
        <w:tc>
          <w:tcPr>
            <w:tcW w:w="771" w:type="dxa"/>
            <w:tcBorders>
              <w:top w:val="single" w:sz="4" w:space="0" w:color="auto"/>
              <w:left w:val="nil"/>
              <w:bottom w:val="nil"/>
              <w:right w:val="nil"/>
            </w:tcBorders>
            <w:vAlign w:val="center"/>
          </w:tcPr>
          <w:p w14:paraId="4D175017" w14:textId="3C27CB5A" w:rsidR="00472684" w:rsidRPr="00EC2ED0" w:rsidRDefault="00472684" w:rsidP="000D0435">
            <w:pPr>
              <w:pStyle w:val="Subtitle"/>
              <w:ind w:left="-111" w:right="-63"/>
              <w:jc w:val="center"/>
              <w:rPr>
                <w:color w:val="000000" w:themeColor="text1"/>
                <w:spacing w:val="-2"/>
                <w:w w:val="98"/>
                <w:sz w:val="19"/>
                <w:szCs w:val="19"/>
              </w:rPr>
            </w:pPr>
            <w:r w:rsidRPr="00EC2ED0">
              <w:rPr>
                <w:color w:val="000000" w:themeColor="text1"/>
                <w:w w:val="98"/>
              </w:rPr>
              <w:t>31</w:t>
            </w:r>
          </w:p>
        </w:tc>
        <w:tc>
          <w:tcPr>
            <w:tcW w:w="797" w:type="dxa"/>
            <w:tcBorders>
              <w:top w:val="single" w:sz="4" w:space="0" w:color="auto"/>
              <w:left w:val="nil"/>
              <w:bottom w:val="nil"/>
            </w:tcBorders>
            <w:vAlign w:val="center"/>
          </w:tcPr>
          <w:p w14:paraId="12686078" w14:textId="5DB108CC" w:rsidR="00472684" w:rsidRPr="00EC2ED0" w:rsidRDefault="00472684" w:rsidP="000D0435">
            <w:pPr>
              <w:pStyle w:val="Subtitle"/>
              <w:ind w:left="-111" w:right="-63"/>
              <w:jc w:val="center"/>
              <w:rPr>
                <w:color w:val="000000" w:themeColor="text1"/>
                <w:spacing w:val="-2"/>
                <w:w w:val="98"/>
                <w:sz w:val="19"/>
                <w:szCs w:val="19"/>
              </w:rPr>
            </w:pPr>
            <w:r w:rsidRPr="00EC2ED0">
              <w:rPr>
                <w:color w:val="000000" w:themeColor="text1"/>
                <w:w w:val="98"/>
              </w:rPr>
              <w:t>41.3</w:t>
            </w:r>
          </w:p>
        </w:tc>
      </w:tr>
      <w:tr w:rsidR="00EC2ED0" w:rsidRPr="00EC2ED0" w14:paraId="68857201" w14:textId="77777777" w:rsidTr="00142259">
        <w:tc>
          <w:tcPr>
            <w:tcW w:w="1036" w:type="dxa"/>
            <w:vMerge/>
            <w:tcBorders>
              <w:right w:val="nil"/>
            </w:tcBorders>
            <w:vAlign w:val="center"/>
          </w:tcPr>
          <w:p w14:paraId="26D16DE7" w14:textId="77777777" w:rsidR="00472684" w:rsidRPr="00EC2ED0" w:rsidRDefault="00472684" w:rsidP="000D0435">
            <w:pPr>
              <w:pStyle w:val="Subtitle"/>
              <w:ind w:left="-111" w:right="-63"/>
              <w:jc w:val="center"/>
              <w:rPr>
                <w:color w:val="000000" w:themeColor="text1"/>
                <w:spacing w:val="-2"/>
                <w:w w:val="98"/>
                <w:sz w:val="19"/>
                <w:szCs w:val="19"/>
              </w:rPr>
            </w:pPr>
          </w:p>
        </w:tc>
        <w:tc>
          <w:tcPr>
            <w:tcW w:w="1211" w:type="dxa"/>
            <w:tcBorders>
              <w:top w:val="nil"/>
              <w:left w:val="nil"/>
              <w:bottom w:val="nil"/>
              <w:right w:val="nil"/>
            </w:tcBorders>
            <w:vAlign w:val="center"/>
          </w:tcPr>
          <w:p w14:paraId="4B71F422" w14:textId="6BAB506D" w:rsidR="00472684" w:rsidRPr="00EC2ED0" w:rsidRDefault="00472684"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Moderate (4–10 shipments/year)</w:t>
            </w:r>
          </w:p>
        </w:tc>
        <w:tc>
          <w:tcPr>
            <w:tcW w:w="771" w:type="dxa"/>
            <w:tcBorders>
              <w:top w:val="nil"/>
              <w:left w:val="nil"/>
              <w:bottom w:val="nil"/>
              <w:right w:val="nil"/>
            </w:tcBorders>
            <w:vAlign w:val="center"/>
          </w:tcPr>
          <w:p w14:paraId="6DAFA58C" w14:textId="26394908" w:rsidR="00472684" w:rsidRPr="00EC2ED0" w:rsidRDefault="00472684" w:rsidP="000D0435">
            <w:pPr>
              <w:pStyle w:val="Subtitle"/>
              <w:ind w:left="-111" w:right="-63"/>
              <w:jc w:val="center"/>
              <w:rPr>
                <w:color w:val="000000" w:themeColor="text1"/>
                <w:spacing w:val="-2"/>
                <w:w w:val="98"/>
                <w:sz w:val="19"/>
                <w:szCs w:val="19"/>
              </w:rPr>
            </w:pPr>
            <w:r w:rsidRPr="00EC2ED0">
              <w:rPr>
                <w:color w:val="000000" w:themeColor="text1"/>
                <w:w w:val="98"/>
              </w:rPr>
              <w:t>29</w:t>
            </w:r>
          </w:p>
        </w:tc>
        <w:tc>
          <w:tcPr>
            <w:tcW w:w="797" w:type="dxa"/>
            <w:tcBorders>
              <w:top w:val="nil"/>
              <w:left w:val="nil"/>
              <w:bottom w:val="nil"/>
            </w:tcBorders>
            <w:vAlign w:val="center"/>
          </w:tcPr>
          <w:p w14:paraId="066EECF7" w14:textId="7EB36CE1" w:rsidR="00472684" w:rsidRPr="00EC2ED0" w:rsidRDefault="00472684" w:rsidP="000D0435">
            <w:pPr>
              <w:pStyle w:val="Subtitle"/>
              <w:ind w:left="-111" w:right="-63"/>
              <w:jc w:val="center"/>
              <w:rPr>
                <w:color w:val="000000" w:themeColor="text1"/>
                <w:spacing w:val="-2"/>
                <w:w w:val="98"/>
                <w:sz w:val="19"/>
                <w:szCs w:val="19"/>
              </w:rPr>
            </w:pPr>
            <w:r w:rsidRPr="00EC2ED0">
              <w:rPr>
                <w:color w:val="000000" w:themeColor="text1"/>
                <w:w w:val="98"/>
              </w:rPr>
              <w:t>38.7</w:t>
            </w:r>
          </w:p>
        </w:tc>
      </w:tr>
      <w:tr w:rsidR="000D240E" w:rsidRPr="00EC2ED0" w14:paraId="5E245A91" w14:textId="77777777" w:rsidTr="00142259">
        <w:tc>
          <w:tcPr>
            <w:tcW w:w="1036" w:type="dxa"/>
            <w:vMerge/>
            <w:tcBorders>
              <w:bottom w:val="single" w:sz="12" w:space="0" w:color="auto"/>
              <w:right w:val="nil"/>
            </w:tcBorders>
            <w:vAlign w:val="center"/>
          </w:tcPr>
          <w:p w14:paraId="62738BFE" w14:textId="77777777" w:rsidR="00472684" w:rsidRPr="00EC2ED0" w:rsidRDefault="00472684" w:rsidP="000D0435">
            <w:pPr>
              <w:pStyle w:val="Subtitle"/>
              <w:ind w:left="-111" w:right="-63"/>
              <w:jc w:val="center"/>
              <w:rPr>
                <w:color w:val="000000" w:themeColor="text1"/>
                <w:spacing w:val="-2"/>
                <w:w w:val="98"/>
                <w:sz w:val="19"/>
                <w:szCs w:val="19"/>
              </w:rPr>
            </w:pPr>
          </w:p>
        </w:tc>
        <w:tc>
          <w:tcPr>
            <w:tcW w:w="1211" w:type="dxa"/>
            <w:tcBorders>
              <w:top w:val="nil"/>
              <w:left w:val="nil"/>
              <w:bottom w:val="single" w:sz="12" w:space="0" w:color="auto"/>
              <w:right w:val="nil"/>
            </w:tcBorders>
            <w:vAlign w:val="center"/>
          </w:tcPr>
          <w:p w14:paraId="05CE843E" w14:textId="4464DDB0" w:rsidR="00472684" w:rsidRPr="00EC2ED0" w:rsidRDefault="00472684" w:rsidP="00F2425B">
            <w:pPr>
              <w:pStyle w:val="Subtitle"/>
              <w:spacing w:before="20" w:after="20" w:line="240" w:lineRule="auto"/>
              <w:ind w:left="-6" w:right="-62"/>
              <w:rPr>
                <w:color w:val="000000" w:themeColor="text1"/>
                <w:spacing w:val="-2"/>
                <w:w w:val="98"/>
                <w:sz w:val="19"/>
                <w:szCs w:val="19"/>
              </w:rPr>
            </w:pPr>
            <w:r w:rsidRPr="00EC2ED0">
              <w:rPr>
                <w:color w:val="000000" w:themeColor="text1"/>
                <w:w w:val="98"/>
              </w:rPr>
              <w:t>Infrequent</w:t>
            </w:r>
          </w:p>
        </w:tc>
        <w:tc>
          <w:tcPr>
            <w:tcW w:w="771" w:type="dxa"/>
            <w:tcBorders>
              <w:top w:val="nil"/>
              <w:left w:val="nil"/>
              <w:bottom w:val="single" w:sz="12" w:space="0" w:color="auto"/>
              <w:right w:val="nil"/>
            </w:tcBorders>
            <w:vAlign w:val="center"/>
          </w:tcPr>
          <w:p w14:paraId="5EB3E064" w14:textId="6C997CC8" w:rsidR="00472684" w:rsidRPr="00EC2ED0" w:rsidRDefault="00472684" w:rsidP="000D0435">
            <w:pPr>
              <w:pStyle w:val="Subtitle"/>
              <w:ind w:left="-111" w:right="-63"/>
              <w:jc w:val="center"/>
              <w:rPr>
                <w:color w:val="000000" w:themeColor="text1"/>
                <w:spacing w:val="-2"/>
                <w:w w:val="98"/>
                <w:sz w:val="19"/>
                <w:szCs w:val="19"/>
              </w:rPr>
            </w:pPr>
            <w:r w:rsidRPr="00EC2ED0">
              <w:rPr>
                <w:color w:val="000000" w:themeColor="text1"/>
                <w:w w:val="98"/>
              </w:rPr>
              <w:t>15</w:t>
            </w:r>
          </w:p>
        </w:tc>
        <w:tc>
          <w:tcPr>
            <w:tcW w:w="797" w:type="dxa"/>
            <w:tcBorders>
              <w:top w:val="nil"/>
              <w:left w:val="nil"/>
              <w:bottom w:val="single" w:sz="12" w:space="0" w:color="auto"/>
            </w:tcBorders>
            <w:vAlign w:val="center"/>
          </w:tcPr>
          <w:p w14:paraId="35B43A10" w14:textId="5754E84F" w:rsidR="00472684" w:rsidRPr="00EC2ED0" w:rsidRDefault="00472684" w:rsidP="000D0435">
            <w:pPr>
              <w:pStyle w:val="Subtitle"/>
              <w:ind w:left="-111" w:right="-63"/>
              <w:jc w:val="center"/>
              <w:rPr>
                <w:color w:val="000000" w:themeColor="text1"/>
                <w:spacing w:val="-2"/>
                <w:w w:val="98"/>
                <w:sz w:val="19"/>
                <w:szCs w:val="19"/>
              </w:rPr>
            </w:pPr>
            <w:r w:rsidRPr="00EC2ED0">
              <w:rPr>
                <w:color w:val="000000" w:themeColor="text1"/>
                <w:w w:val="98"/>
              </w:rPr>
              <w:t>20.0</w:t>
            </w:r>
          </w:p>
        </w:tc>
      </w:tr>
    </w:tbl>
    <w:p w14:paraId="370103CB" w14:textId="77777777" w:rsidR="00745AD6" w:rsidRPr="00EC2ED0" w:rsidRDefault="00745AD6" w:rsidP="00FA340B">
      <w:pPr>
        <w:spacing w:line="338" w:lineRule="auto"/>
        <w:rPr>
          <w:rFonts w:eastAsia="함초롬바탕"/>
          <w:color w:val="000000" w:themeColor="text1"/>
          <w:spacing w:val="-2"/>
          <w:w w:val="98"/>
          <w:sz w:val="2"/>
          <w:szCs w:val="2"/>
        </w:rPr>
      </w:pPr>
    </w:p>
    <w:p w14:paraId="622AAF52" w14:textId="3CFB4D3A" w:rsidR="007B1D15" w:rsidRPr="00EC2ED0" w:rsidRDefault="007B1D15" w:rsidP="00EE3618">
      <w:pPr>
        <w:spacing w:line="338" w:lineRule="auto"/>
        <w:jc w:val="both"/>
        <w:rPr>
          <w:rFonts w:eastAsia="함초롬바탕"/>
          <w:color w:val="000000" w:themeColor="text1"/>
          <w:spacing w:val="-2"/>
          <w:w w:val="98"/>
          <w:sz w:val="19"/>
          <w:szCs w:val="19"/>
        </w:rPr>
        <w:sectPr w:rsidR="007B1D15" w:rsidRPr="00EC2ED0" w:rsidSect="000D408E">
          <w:footerReference w:type="default" r:id="rId11"/>
          <w:type w:val="continuous"/>
          <w:pgSz w:w="10438" w:h="15122" w:code="7"/>
          <w:pgMar w:top="1021" w:right="1191" w:bottom="964" w:left="1191" w:header="567" w:footer="567" w:gutter="0"/>
          <w:cols w:num="2" w:space="425"/>
          <w:docGrid w:linePitch="360"/>
        </w:sectPr>
      </w:pPr>
      <w:r w:rsidRPr="00EC2ED0">
        <w:rPr>
          <w:rFonts w:eastAsia="함초롬바탕"/>
          <w:color w:val="000000" w:themeColor="text1"/>
          <w:spacing w:val="-2"/>
          <w:w w:val="98"/>
          <w:sz w:val="19"/>
          <w:szCs w:val="19"/>
        </w:rPr>
        <w:t>Most respondents operate in manufacturing (40.0%) and trading sectors (32.0%). Logistics and 3PL services account for 18.7%. This distribution reflects the structure of FCL import demand in Vietnam. Small and medium-sized enterprises dominate the sample. In particular, 61.3% of firms employ fewer than 200 staff. Decision-making roles are held by 56.0% of respondents. The remaining participants are operational staff. Nearly half of the respondents (48.0%) report service relationships exceeding three years. Moreover, 41.3% use FCL services frequently. As a result, service evaluations are based on repeated interactions rather than on isolated transactions (Table 1).</w:t>
      </w:r>
    </w:p>
    <w:p w14:paraId="63BABCBD" w14:textId="77777777" w:rsidR="008643F9" w:rsidRPr="00EC2ED0" w:rsidRDefault="008643F9" w:rsidP="00625A8D">
      <w:pPr>
        <w:pStyle w:val="NoSpacing"/>
        <w:rPr>
          <w:color w:val="000000" w:themeColor="text1"/>
        </w:rPr>
      </w:pPr>
    </w:p>
    <w:p w14:paraId="65149F08" w14:textId="7547EF78" w:rsidR="00FD5102" w:rsidRPr="00EC2ED0" w:rsidRDefault="00FD5102" w:rsidP="00FD5102">
      <w:pPr>
        <w:pStyle w:val="Heading2"/>
        <w:rPr>
          <w:color w:val="000000" w:themeColor="text1"/>
        </w:rPr>
      </w:pPr>
      <w:r w:rsidRPr="00EC2ED0">
        <w:rPr>
          <w:color w:val="000000" w:themeColor="text1"/>
        </w:rPr>
        <w:t xml:space="preserve">B. </w:t>
      </w:r>
      <w:r w:rsidR="00D123B4" w:rsidRPr="00EC2ED0">
        <w:rPr>
          <w:color w:val="000000" w:themeColor="text1"/>
        </w:rPr>
        <w:t>Measurement model assessment</w:t>
      </w:r>
    </w:p>
    <w:p w14:paraId="49EC0E32" w14:textId="77777777" w:rsidR="00FD5102" w:rsidRPr="00EC2ED0" w:rsidRDefault="00FD5102" w:rsidP="005C44D4">
      <w:pPr>
        <w:spacing w:line="360" w:lineRule="auto"/>
        <w:rPr>
          <w:color w:val="000000" w:themeColor="text1"/>
          <w:sz w:val="19"/>
          <w:szCs w:val="19"/>
        </w:rPr>
      </w:pPr>
    </w:p>
    <w:p w14:paraId="069FE6DB" w14:textId="41F96756" w:rsidR="001D2527" w:rsidRPr="00EC2ED0" w:rsidRDefault="001D2527" w:rsidP="001D2527">
      <w:pPr>
        <w:pStyle w:val="Caption"/>
        <w:rPr>
          <w:color w:val="000000" w:themeColor="text1"/>
        </w:rPr>
      </w:pPr>
      <w:r w:rsidRPr="00EC2ED0">
        <w:rPr>
          <w:b/>
          <w:bCs/>
          <w:color w:val="000000" w:themeColor="text1"/>
        </w:rPr>
        <w:t xml:space="preserve">Table </w:t>
      </w:r>
      <w:r w:rsidRPr="00EC2ED0">
        <w:rPr>
          <w:b/>
          <w:bCs/>
          <w:color w:val="000000" w:themeColor="text1"/>
        </w:rPr>
        <w:fldChar w:fldCharType="begin"/>
      </w:r>
      <w:r w:rsidRPr="00EC2ED0">
        <w:rPr>
          <w:b/>
          <w:bCs/>
          <w:color w:val="000000" w:themeColor="text1"/>
        </w:rPr>
        <w:instrText xml:space="preserve"> SEQ Table \* ARABIC </w:instrText>
      </w:r>
      <w:r w:rsidRPr="00EC2ED0">
        <w:rPr>
          <w:b/>
          <w:bCs/>
          <w:color w:val="000000" w:themeColor="text1"/>
        </w:rPr>
        <w:fldChar w:fldCharType="separate"/>
      </w:r>
      <w:r w:rsidR="004E3278" w:rsidRPr="00EC2ED0">
        <w:rPr>
          <w:b/>
          <w:bCs/>
          <w:noProof/>
          <w:color w:val="000000" w:themeColor="text1"/>
        </w:rPr>
        <w:t>2</w:t>
      </w:r>
      <w:r w:rsidRPr="00EC2ED0">
        <w:rPr>
          <w:b/>
          <w:bCs/>
          <w:color w:val="000000" w:themeColor="text1"/>
        </w:rPr>
        <w:fldChar w:fldCharType="end"/>
      </w:r>
      <w:r w:rsidRPr="00EC2ED0">
        <w:rPr>
          <w:color w:val="000000" w:themeColor="text1"/>
        </w:rPr>
        <w:t xml:space="preserve">. </w:t>
      </w:r>
      <w:r w:rsidR="00940689" w:rsidRPr="00EC2ED0">
        <w:rPr>
          <w:color w:val="000000" w:themeColor="text1"/>
        </w:rPr>
        <w:t>Measurement scales and Reliability results</w:t>
      </w:r>
    </w:p>
    <w:tbl>
      <w:tblPr>
        <w:tblStyle w:val="TableGrid"/>
        <w:tblW w:w="5000" w:type="pct"/>
        <w:tblBorders>
          <w:top w:val="single" w:sz="12" w:space="0" w:color="auto"/>
          <w:left w:val="none" w:sz="0" w:space="0" w:color="auto"/>
          <w:bottom w:val="single" w:sz="12" w:space="0" w:color="auto"/>
          <w:right w:val="none" w:sz="0" w:space="0" w:color="auto"/>
          <w:insideH w:val="none" w:sz="0" w:space="0" w:color="auto"/>
        </w:tblBorders>
        <w:tblLook w:val="04A0" w:firstRow="1" w:lastRow="0" w:firstColumn="1" w:lastColumn="0" w:noHBand="0" w:noVBand="1"/>
      </w:tblPr>
      <w:tblGrid>
        <w:gridCol w:w="1471"/>
        <w:gridCol w:w="654"/>
        <w:gridCol w:w="2012"/>
        <w:gridCol w:w="1394"/>
        <w:gridCol w:w="1418"/>
        <w:gridCol w:w="1107"/>
      </w:tblGrid>
      <w:tr w:rsidR="00EC2ED0" w:rsidRPr="00EC2ED0" w14:paraId="15B0DCD1" w14:textId="77777777" w:rsidTr="00FA25F9">
        <w:trPr>
          <w:tblHeader/>
        </w:trPr>
        <w:tc>
          <w:tcPr>
            <w:tcW w:w="913" w:type="pct"/>
            <w:tcBorders>
              <w:top w:val="single" w:sz="12" w:space="0" w:color="auto"/>
              <w:bottom w:val="single" w:sz="12" w:space="0" w:color="auto"/>
              <w:right w:val="nil"/>
            </w:tcBorders>
            <w:vAlign w:val="center"/>
          </w:tcPr>
          <w:p w14:paraId="02DD9943" w14:textId="468F15C7" w:rsidR="00765913" w:rsidRPr="00EC2ED0" w:rsidRDefault="00765913" w:rsidP="00A154C5">
            <w:pPr>
              <w:pStyle w:val="Subtitle"/>
              <w:jc w:val="center"/>
              <w:rPr>
                <w:color w:val="000000" w:themeColor="text1"/>
                <w:w w:val="98"/>
              </w:rPr>
            </w:pPr>
            <w:r w:rsidRPr="00EC2ED0">
              <w:rPr>
                <w:color w:val="000000" w:themeColor="text1"/>
              </w:rPr>
              <w:t>Construct</w:t>
            </w:r>
          </w:p>
        </w:tc>
        <w:tc>
          <w:tcPr>
            <w:tcW w:w="406" w:type="pct"/>
            <w:tcBorders>
              <w:top w:val="single" w:sz="12" w:space="0" w:color="auto"/>
              <w:left w:val="nil"/>
              <w:bottom w:val="single" w:sz="12" w:space="0" w:color="auto"/>
              <w:right w:val="nil"/>
            </w:tcBorders>
            <w:vAlign w:val="center"/>
          </w:tcPr>
          <w:p w14:paraId="0A4D43AF" w14:textId="7A434F14" w:rsidR="00765913" w:rsidRPr="00EC2ED0" w:rsidRDefault="00765913" w:rsidP="00A154C5">
            <w:pPr>
              <w:pStyle w:val="Subtitle"/>
              <w:jc w:val="center"/>
              <w:rPr>
                <w:color w:val="000000" w:themeColor="text1"/>
                <w:w w:val="98"/>
              </w:rPr>
            </w:pPr>
            <w:r w:rsidRPr="00EC2ED0">
              <w:rPr>
                <w:color w:val="000000" w:themeColor="text1"/>
              </w:rPr>
              <w:t>Item</w:t>
            </w:r>
          </w:p>
        </w:tc>
        <w:tc>
          <w:tcPr>
            <w:tcW w:w="1249" w:type="pct"/>
            <w:tcBorders>
              <w:top w:val="single" w:sz="12" w:space="0" w:color="auto"/>
              <w:left w:val="nil"/>
              <w:bottom w:val="single" w:sz="12" w:space="0" w:color="auto"/>
              <w:right w:val="nil"/>
            </w:tcBorders>
            <w:vAlign w:val="center"/>
          </w:tcPr>
          <w:p w14:paraId="512A47B9" w14:textId="4928DF28" w:rsidR="00765913" w:rsidRPr="00EC2ED0" w:rsidRDefault="00765913" w:rsidP="00A154C5">
            <w:pPr>
              <w:pStyle w:val="Subtitle"/>
              <w:jc w:val="center"/>
              <w:rPr>
                <w:color w:val="000000" w:themeColor="text1"/>
                <w:w w:val="98"/>
              </w:rPr>
            </w:pPr>
            <w:r w:rsidRPr="00EC2ED0">
              <w:rPr>
                <w:color w:val="000000" w:themeColor="text1"/>
              </w:rPr>
              <w:t>Item description</w:t>
            </w:r>
          </w:p>
        </w:tc>
        <w:tc>
          <w:tcPr>
            <w:tcW w:w="865" w:type="pct"/>
            <w:tcBorders>
              <w:top w:val="single" w:sz="12" w:space="0" w:color="auto"/>
              <w:left w:val="nil"/>
              <w:bottom w:val="single" w:sz="12" w:space="0" w:color="auto"/>
              <w:right w:val="nil"/>
            </w:tcBorders>
            <w:vAlign w:val="center"/>
          </w:tcPr>
          <w:p w14:paraId="5E0E690D" w14:textId="6E22F7B9" w:rsidR="00765913" w:rsidRPr="00EC2ED0" w:rsidRDefault="00765913" w:rsidP="00A154C5">
            <w:pPr>
              <w:pStyle w:val="Subtitle"/>
              <w:ind w:left="-131" w:right="-113"/>
              <w:jc w:val="center"/>
              <w:rPr>
                <w:color w:val="000000" w:themeColor="text1"/>
                <w:w w:val="98"/>
              </w:rPr>
            </w:pPr>
            <w:r w:rsidRPr="00EC2ED0">
              <w:rPr>
                <w:color w:val="000000" w:themeColor="text1"/>
              </w:rPr>
              <w:t>Corrected Item–Total Correlation</w:t>
            </w:r>
          </w:p>
        </w:tc>
        <w:tc>
          <w:tcPr>
            <w:tcW w:w="880" w:type="pct"/>
            <w:tcBorders>
              <w:top w:val="single" w:sz="12" w:space="0" w:color="auto"/>
              <w:left w:val="nil"/>
              <w:bottom w:val="single" w:sz="12" w:space="0" w:color="auto"/>
              <w:right w:val="nil"/>
            </w:tcBorders>
            <w:vAlign w:val="center"/>
          </w:tcPr>
          <w:p w14:paraId="69E0F502" w14:textId="3AF4B1C4" w:rsidR="00765913" w:rsidRPr="00EC2ED0" w:rsidRDefault="00765913" w:rsidP="00A154C5">
            <w:pPr>
              <w:pStyle w:val="Subtitle"/>
              <w:ind w:left="-131" w:right="-113"/>
              <w:jc w:val="center"/>
              <w:rPr>
                <w:color w:val="000000" w:themeColor="text1"/>
                <w:w w:val="98"/>
              </w:rPr>
            </w:pPr>
            <w:r w:rsidRPr="00EC2ED0">
              <w:rPr>
                <w:color w:val="000000" w:themeColor="text1"/>
              </w:rPr>
              <w:t xml:space="preserve">Cronbach’s Alpha </w:t>
            </w:r>
            <w:r w:rsidR="00A154C5" w:rsidRPr="00EC2ED0">
              <w:rPr>
                <w:color w:val="000000" w:themeColor="text1"/>
              </w:rPr>
              <w:br/>
            </w:r>
            <w:r w:rsidRPr="00EC2ED0">
              <w:rPr>
                <w:color w:val="000000" w:themeColor="text1"/>
              </w:rPr>
              <w:t>if Item Deleted</w:t>
            </w:r>
          </w:p>
        </w:tc>
        <w:tc>
          <w:tcPr>
            <w:tcW w:w="687" w:type="pct"/>
            <w:tcBorders>
              <w:top w:val="single" w:sz="12" w:space="0" w:color="auto"/>
              <w:left w:val="nil"/>
              <w:bottom w:val="single" w:sz="12" w:space="0" w:color="auto"/>
            </w:tcBorders>
            <w:vAlign w:val="center"/>
          </w:tcPr>
          <w:p w14:paraId="64E08DE8" w14:textId="67437937" w:rsidR="00765913" w:rsidRPr="00EC2ED0" w:rsidRDefault="00765913" w:rsidP="00A154C5">
            <w:pPr>
              <w:pStyle w:val="Subtitle"/>
              <w:jc w:val="center"/>
              <w:rPr>
                <w:color w:val="000000" w:themeColor="text1"/>
                <w:w w:val="98"/>
              </w:rPr>
            </w:pPr>
            <w:r w:rsidRPr="00EC2ED0">
              <w:rPr>
                <w:color w:val="000000" w:themeColor="text1"/>
              </w:rPr>
              <w:t>Source</w:t>
            </w:r>
          </w:p>
        </w:tc>
      </w:tr>
      <w:tr w:rsidR="00EC2ED0" w:rsidRPr="00EC2ED0" w14:paraId="0E1F6F8F" w14:textId="77777777" w:rsidTr="00FA25F9">
        <w:tc>
          <w:tcPr>
            <w:tcW w:w="913" w:type="pct"/>
            <w:vMerge w:val="restart"/>
            <w:tcBorders>
              <w:top w:val="single" w:sz="12" w:space="0" w:color="auto"/>
              <w:right w:val="nil"/>
            </w:tcBorders>
            <w:vAlign w:val="center"/>
          </w:tcPr>
          <w:p w14:paraId="1C5CDA47" w14:textId="77777777" w:rsidR="008B0FF1" w:rsidRPr="00EC2ED0" w:rsidRDefault="008B0FF1" w:rsidP="00086025">
            <w:pPr>
              <w:pStyle w:val="Subtitle"/>
              <w:rPr>
                <w:rStyle w:val="Strong"/>
                <w:b w:val="0"/>
                <w:bCs w:val="0"/>
                <w:color w:val="000000" w:themeColor="text1"/>
              </w:rPr>
            </w:pPr>
            <w:r w:rsidRPr="00EC2ED0">
              <w:rPr>
                <w:rStyle w:val="Strong"/>
                <w:b w:val="0"/>
                <w:bCs w:val="0"/>
                <w:color w:val="000000" w:themeColor="text1"/>
              </w:rPr>
              <w:t>Service reliability (RE)</w:t>
            </w:r>
          </w:p>
          <w:p w14:paraId="3D14081B" w14:textId="028D351D" w:rsidR="00513E84" w:rsidRPr="00EC2ED0" w:rsidRDefault="00513E84" w:rsidP="00086025">
            <w:pPr>
              <w:pStyle w:val="Subtitle"/>
              <w:rPr>
                <w:color w:val="000000" w:themeColor="text1"/>
              </w:rPr>
            </w:pPr>
            <w:r w:rsidRPr="00EC2ED0">
              <w:rPr>
                <w:color w:val="000000" w:themeColor="text1"/>
              </w:rPr>
              <w:t>(α = 0.875)</w:t>
            </w:r>
          </w:p>
        </w:tc>
        <w:tc>
          <w:tcPr>
            <w:tcW w:w="406" w:type="pct"/>
            <w:tcBorders>
              <w:top w:val="single" w:sz="12" w:space="0" w:color="auto"/>
              <w:left w:val="nil"/>
              <w:right w:val="nil"/>
            </w:tcBorders>
            <w:vAlign w:val="center"/>
          </w:tcPr>
          <w:p w14:paraId="4487C6E7" w14:textId="40AB0DA6" w:rsidR="008B0FF1" w:rsidRPr="00EC2ED0" w:rsidRDefault="008B0FF1" w:rsidP="00765913">
            <w:pPr>
              <w:pStyle w:val="Subtitle"/>
              <w:rPr>
                <w:color w:val="000000" w:themeColor="text1"/>
                <w:w w:val="98"/>
              </w:rPr>
            </w:pPr>
            <w:r w:rsidRPr="00EC2ED0">
              <w:rPr>
                <w:color w:val="000000" w:themeColor="text1"/>
              </w:rPr>
              <w:t>RE1</w:t>
            </w:r>
          </w:p>
        </w:tc>
        <w:tc>
          <w:tcPr>
            <w:tcW w:w="1249" w:type="pct"/>
            <w:tcBorders>
              <w:top w:val="single" w:sz="12" w:space="0" w:color="auto"/>
              <w:left w:val="nil"/>
              <w:right w:val="nil"/>
            </w:tcBorders>
            <w:vAlign w:val="center"/>
          </w:tcPr>
          <w:p w14:paraId="27E6769E" w14:textId="7D376B33" w:rsidR="008B0FF1" w:rsidRPr="00EC2ED0" w:rsidRDefault="008B0FF1" w:rsidP="00765913">
            <w:pPr>
              <w:pStyle w:val="Subtitle"/>
              <w:rPr>
                <w:color w:val="000000" w:themeColor="text1"/>
                <w:w w:val="98"/>
              </w:rPr>
            </w:pPr>
            <w:r w:rsidRPr="00EC2ED0">
              <w:rPr>
                <w:color w:val="000000" w:themeColor="text1"/>
              </w:rPr>
              <w:t>On-time performance as committed</w:t>
            </w:r>
          </w:p>
        </w:tc>
        <w:tc>
          <w:tcPr>
            <w:tcW w:w="865" w:type="pct"/>
            <w:tcBorders>
              <w:top w:val="single" w:sz="12" w:space="0" w:color="auto"/>
              <w:left w:val="nil"/>
              <w:right w:val="nil"/>
            </w:tcBorders>
            <w:vAlign w:val="center"/>
          </w:tcPr>
          <w:p w14:paraId="4F61580D" w14:textId="521871D2" w:rsidR="008B0FF1" w:rsidRPr="00EC2ED0" w:rsidRDefault="008B0FF1" w:rsidP="00722C24">
            <w:pPr>
              <w:pStyle w:val="Subtitle"/>
              <w:jc w:val="center"/>
              <w:rPr>
                <w:color w:val="000000" w:themeColor="text1"/>
                <w:w w:val="98"/>
              </w:rPr>
            </w:pPr>
            <w:r w:rsidRPr="00EC2ED0">
              <w:rPr>
                <w:color w:val="000000" w:themeColor="text1"/>
              </w:rPr>
              <w:t>0.806</w:t>
            </w:r>
          </w:p>
        </w:tc>
        <w:tc>
          <w:tcPr>
            <w:tcW w:w="880" w:type="pct"/>
            <w:tcBorders>
              <w:top w:val="single" w:sz="12" w:space="0" w:color="auto"/>
              <w:left w:val="nil"/>
              <w:right w:val="nil"/>
            </w:tcBorders>
            <w:vAlign w:val="center"/>
          </w:tcPr>
          <w:p w14:paraId="647BBD97" w14:textId="0ED36D85" w:rsidR="008B0FF1" w:rsidRPr="00EC2ED0" w:rsidRDefault="008B0FF1" w:rsidP="00722C24">
            <w:pPr>
              <w:pStyle w:val="Subtitle"/>
              <w:jc w:val="center"/>
              <w:rPr>
                <w:color w:val="000000" w:themeColor="text1"/>
                <w:w w:val="98"/>
              </w:rPr>
            </w:pPr>
            <w:r w:rsidRPr="00EC2ED0">
              <w:rPr>
                <w:color w:val="000000" w:themeColor="text1"/>
              </w:rPr>
              <w:t>0.822</w:t>
            </w:r>
          </w:p>
        </w:tc>
        <w:tc>
          <w:tcPr>
            <w:tcW w:w="687" w:type="pct"/>
            <w:tcBorders>
              <w:top w:val="single" w:sz="12" w:space="0" w:color="auto"/>
              <w:left w:val="nil"/>
            </w:tcBorders>
            <w:vAlign w:val="center"/>
          </w:tcPr>
          <w:p w14:paraId="02FBBA1C" w14:textId="5A7405CA" w:rsidR="008B0FF1" w:rsidRPr="00EC2ED0" w:rsidRDefault="008B0FF1" w:rsidP="00C9116A">
            <w:pPr>
              <w:pStyle w:val="Subtitle"/>
              <w:jc w:val="center"/>
              <w:rPr>
                <w:color w:val="000000" w:themeColor="text1"/>
                <w:w w:val="98"/>
              </w:rPr>
            </w:pPr>
            <w:r w:rsidRPr="00EC2ED0">
              <w:rPr>
                <w:color w:val="000000" w:themeColor="text1"/>
              </w:rPr>
              <w:t>Thai (2013)</w:t>
            </w:r>
          </w:p>
        </w:tc>
      </w:tr>
      <w:tr w:rsidR="00EC2ED0" w:rsidRPr="00EC2ED0" w14:paraId="62309113" w14:textId="77777777" w:rsidTr="00FA25F9">
        <w:tc>
          <w:tcPr>
            <w:tcW w:w="913" w:type="pct"/>
            <w:vMerge/>
            <w:tcBorders>
              <w:right w:val="nil"/>
            </w:tcBorders>
            <w:vAlign w:val="center"/>
          </w:tcPr>
          <w:p w14:paraId="67077AF2" w14:textId="77777777" w:rsidR="008B0FF1" w:rsidRPr="00EC2ED0" w:rsidRDefault="008B0FF1" w:rsidP="00086025">
            <w:pPr>
              <w:pStyle w:val="Subtitle"/>
              <w:rPr>
                <w:color w:val="000000" w:themeColor="text1"/>
                <w:w w:val="98"/>
              </w:rPr>
            </w:pPr>
          </w:p>
        </w:tc>
        <w:tc>
          <w:tcPr>
            <w:tcW w:w="406" w:type="pct"/>
            <w:tcBorders>
              <w:left w:val="nil"/>
              <w:right w:val="nil"/>
            </w:tcBorders>
            <w:vAlign w:val="center"/>
          </w:tcPr>
          <w:p w14:paraId="25047706" w14:textId="300F062D" w:rsidR="008B0FF1" w:rsidRPr="00EC2ED0" w:rsidRDefault="008B0FF1" w:rsidP="00765913">
            <w:pPr>
              <w:pStyle w:val="Subtitle"/>
              <w:rPr>
                <w:color w:val="000000" w:themeColor="text1"/>
                <w:w w:val="98"/>
              </w:rPr>
            </w:pPr>
            <w:r w:rsidRPr="00EC2ED0">
              <w:rPr>
                <w:color w:val="000000" w:themeColor="text1"/>
              </w:rPr>
              <w:t>RE2</w:t>
            </w:r>
          </w:p>
        </w:tc>
        <w:tc>
          <w:tcPr>
            <w:tcW w:w="1249" w:type="pct"/>
            <w:tcBorders>
              <w:left w:val="nil"/>
              <w:right w:val="nil"/>
            </w:tcBorders>
            <w:vAlign w:val="center"/>
          </w:tcPr>
          <w:p w14:paraId="3756E43E" w14:textId="4B6CC67C" w:rsidR="008B0FF1" w:rsidRPr="00EC2ED0" w:rsidRDefault="008B0FF1" w:rsidP="00765913">
            <w:pPr>
              <w:pStyle w:val="Subtitle"/>
              <w:rPr>
                <w:color w:val="000000" w:themeColor="text1"/>
                <w:w w:val="98"/>
              </w:rPr>
            </w:pPr>
            <w:r w:rsidRPr="00EC2ED0">
              <w:rPr>
                <w:color w:val="000000" w:themeColor="text1"/>
              </w:rPr>
              <w:t>Timely notification of schedule changes and risks</w:t>
            </w:r>
          </w:p>
        </w:tc>
        <w:tc>
          <w:tcPr>
            <w:tcW w:w="865" w:type="pct"/>
            <w:tcBorders>
              <w:left w:val="nil"/>
              <w:right w:val="nil"/>
            </w:tcBorders>
            <w:vAlign w:val="center"/>
          </w:tcPr>
          <w:p w14:paraId="1B7EE7CE" w14:textId="27077098" w:rsidR="008B0FF1" w:rsidRPr="00EC2ED0" w:rsidRDefault="008B0FF1" w:rsidP="00722C24">
            <w:pPr>
              <w:pStyle w:val="Subtitle"/>
              <w:jc w:val="center"/>
              <w:rPr>
                <w:color w:val="000000" w:themeColor="text1"/>
                <w:w w:val="98"/>
              </w:rPr>
            </w:pPr>
            <w:r w:rsidRPr="00EC2ED0">
              <w:rPr>
                <w:color w:val="000000" w:themeColor="text1"/>
              </w:rPr>
              <w:t>0.816</w:t>
            </w:r>
          </w:p>
        </w:tc>
        <w:tc>
          <w:tcPr>
            <w:tcW w:w="880" w:type="pct"/>
            <w:tcBorders>
              <w:left w:val="nil"/>
              <w:right w:val="nil"/>
            </w:tcBorders>
            <w:vAlign w:val="center"/>
          </w:tcPr>
          <w:p w14:paraId="6E8F9609" w14:textId="6377401F" w:rsidR="008B0FF1" w:rsidRPr="00EC2ED0" w:rsidRDefault="008B0FF1" w:rsidP="00722C24">
            <w:pPr>
              <w:pStyle w:val="Subtitle"/>
              <w:jc w:val="center"/>
              <w:rPr>
                <w:color w:val="000000" w:themeColor="text1"/>
                <w:w w:val="98"/>
              </w:rPr>
            </w:pPr>
            <w:r w:rsidRPr="00EC2ED0">
              <w:rPr>
                <w:color w:val="000000" w:themeColor="text1"/>
              </w:rPr>
              <w:t>0.824</w:t>
            </w:r>
          </w:p>
        </w:tc>
        <w:tc>
          <w:tcPr>
            <w:tcW w:w="687" w:type="pct"/>
            <w:tcBorders>
              <w:left w:val="nil"/>
            </w:tcBorders>
            <w:vAlign w:val="center"/>
          </w:tcPr>
          <w:p w14:paraId="4976809B" w14:textId="7062C95C" w:rsidR="008B0FF1" w:rsidRPr="00EC2ED0" w:rsidRDefault="008B0FF1" w:rsidP="00C9116A">
            <w:pPr>
              <w:pStyle w:val="Subtitle"/>
              <w:jc w:val="center"/>
              <w:rPr>
                <w:color w:val="000000" w:themeColor="text1"/>
                <w:w w:val="98"/>
              </w:rPr>
            </w:pPr>
            <w:r w:rsidRPr="00EC2ED0">
              <w:rPr>
                <w:color w:val="000000" w:themeColor="text1"/>
              </w:rPr>
              <w:t>Yuen &amp; Thai (2015)</w:t>
            </w:r>
          </w:p>
        </w:tc>
      </w:tr>
      <w:tr w:rsidR="00EC2ED0" w:rsidRPr="00EC2ED0" w14:paraId="4E339C80" w14:textId="77777777" w:rsidTr="00FA25F9">
        <w:tc>
          <w:tcPr>
            <w:tcW w:w="913" w:type="pct"/>
            <w:vMerge/>
            <w:tcBorders>
              <w:right w:val="nil"/>
            </w:tcBorders>
            <w:vAlign w:val="center"/>
          </w:tcPr>
          <w:p w14:paraId="7C3A6CC7" w14:textId="77777777" w:rsidR="008B0FF1" w:rsidRPr="00EC2ED0" w:rsidRDefault="008B0FF1" w:rsidP="00086025">
            <w:pPr>
              <w:pStyle w:val="Subtitle"/>
              <w:rPr>
                <w:color w:val="000000" w:themeColor="text1"/>
                <w:w w:val="98"/>
              </w:rPr>
            </w:pPr>
          </w:p>
        </w:tc>
        <w:tc>
          <w:tcPr>
            <w:tcW w:w="406" w:type="pct"/>
            <w:tcBorders>
              <w:left w:val="nil"/>
              <w:right w:val="nil"/>
            </w:tcBorders>
            <w:vAlign w:val="center"/>
          </w:tcPr>
          <w:p w14:paraId="686BF731" w14:textId="18D3BB25" w:rsidR="008B0FF1" w:rsidRPr="00EC2ED0" w:rsidRDefault="008B0FF1" w:rsidP="00765913">
            <w:pPr>
              <w:pStyle w:val="Subtitle"/>
              <w:rPr>
                <w:color w:val="000000" w:themeColor="text1"/>
                <w:w w:val="98"/>
              </w:rPr>
            </w:pPr>
            <w:r w:rsidRPr="00EC2ED0">
              <w:rPr>
                <w:color w:val="000000" w:themeColor="text1"/>
              </w:rPr>
              <w:t>RE3</w:t>
            </w:r>
          </w:p>
        </w:tc>
        <w:tc>
          <w:tcPr>
            <w:tcW w:w="1249" w:type="pct"/>
            <w:tcBorders>
              <w:left w:val="nil"/>
              <w:right w:val="nil"/>
            </w:tcBorders>
            <w:vAlign w:val="center"/>
          </w:tcPr>
          <w:p w14:paraId="10F6F808" w14:textId="0DBF4380" w:rsidR="008B0FF1" w:rsidRPr="00EC2ED0" w:rsidRDefault="008B0FF1" w:rsidP="00765913">
            <w:pPr>
              <w:pStyle w:val="Subtitle"/>
              <w:rPr>
                <w:color w:val="000000" w:themeColor="text1"/>
                <w:w w:val="98"/>
              </w:rPr>
            </w:pPr>
            <w:r w:rsidRPr="00EC2ED0">
              <w:rPr>
                <w:color w:val="000000" w:themeColor="text1"/>
              </w:rPr>
              <w:t>Proactive resource availability (containers, yard, warehouse)</w:t>
            </w:r>
          </w:p>
        </w:tc>
        <w:tc>
          <w:tcPr>
            <w:tcW w:w="865" w:type="pct"/>
            <w:tcBorders>
              <w:left w:val="nil"/>
              <w:right w:val="nil"/>
            </w:tcBorders>
            <w:vAlign w:val="center"/>
          </w:tcPr>
          <w:p w14:paraId="6D960D97" w14:textId="7D8D3CCB" w:rsidR="008B0FF1" w:rsidRPr="00EC2ED0" w:rsidRDefault="008B0FF1" w:rsidP="00722C24">
            <w:pPr>
              <w:pStyle w:val="Subtitle"/>
              <w:jc w:val="center"/>
              <w:rPr>
                <w:color w:val="000000" w:themeColor="text1"/>
                <w:w w:val="98"/>
              </w:rPr>
            </w:pPr>
            <w:r w:rsidRPr="00EC2ED0">
              <w:rPr>
                <w:color w:val="000000" w:themeColor="text1"/>
              </w:rPr>
              <w:t>0.578</w:t>
            </w:r>
          </w:p>
        </w:tc>
        <w:tc>
          <w:tcPr>
            <w:tcW w:w="880" w:type="pct"/>
            <w:tcBorders>
              <w:left w:val="nil"/>
              <w:right w:val="nil"/>
            </w:tcBorders>
            <w:vAlign w:val="center"/>
          </w:tcPr>
          <w:p w14:paraId="30944D06" w14:textId="2E6239E6" w:rsidR="008B0FF1" w:rsidRPr="00EC2ED0" w:rsidRDefault="008B0FF1" w:rsidP="00722C24">
            <w:pPr>
              <w:pStyle w:val="Subtitle"/>
              <w:jc w:val="center"/>
              <w:rPr>
                <w:color w:val="000000" w:themeColor="text1"/>
                <w:w w:val="98"/>
              </w:rPr>
            </w:pPr>
            <w:r w:rsidRPr="00EC2ED0">
              <w:rPr>
                <w:color w:val="000000" w:themeColor="text1"/>
              </w:rPr>
              <w:t>0.884</w:t>
            </w:r>
          </w:p>
        </w:tc>
        <w:tc>
          <w:tcPr>
            <w:tcW w:w="687" w:type="pct"/>
            <w:tcBorders>
              <w:left w:val="nil"/>
            </w:tcBorders>
            <w:vAlign w:val="center"/>
          </w:tcPr>
          <w:p w14:paraId="09243C8D" w14:textId="74B782B1" w:rsidR="008B0FF1" w:rsidRPr="00EC2ED0" w:rsidRDefault="008B0FF1" w:rsidP="00C9116A">
            <w:pPr>
              <w:pStyle w:val="Subtitle"/>
              <w:jc w:val="center"/>
              <w:rPr>
                <w:color w:val="000000" w:themeColor="text1"/>
                <w:w w:val="98"/>
              </w:rPr>
            </w:pPr>
            <w:r w:rsidRPr="00EC2ED0">
              <w:rPr>
                <w:color w:val="000000" w:themeColor="text1"/>
              </w:rPr>
              <w:t>Thai (2013)</w:t>
            </w:r>
          </w:p>
        </w:tc>
      </w:tr>
      <w:tr w:rsidR="00EC2ED0" w:rsidRPr="00EC2ED0" w14:paraId="6674B4AE" w14:textId="77777777" w:rsidTr="00FA25F9">
        <w:tc>
          <w:tcPr>
            <w:tcW w:w="913" w:type="pct"/>
            <w:vMerge/>
            <w:tcBorders>
              <w:right w:val="nil"/>
            </w:tcBorders>
            <w:vAlign w:val="center"/>
          </w:tcPr>
          <w:p w14:paraId="2D07CBF1" w14:textId="77777777" w:rsidR="008B0FF1" w:rsidRPr="00EC2ED0" w:rsidRDefault="008B0FF1" w:rsidP="00086025">
            <w:pPr>
              <w:pStyle w:val="Subtitle"/>
              <w:rPr>
                <w:color w:val="000000" w:themeColor="text1"/>
                <w:w w:val="98"/>
              </w:rPr>
            </w:pPr>
          </w:p>
        </w:tc>
        <w:tc>
          <w:tcPr>
            <w:tcW w:w="406" w:type="pct"/>
            <w:tcBorders>
              <w:left w:val="nil"/>
              <w:right w:val="nil"/>
            </w:tcBorders>
            <w:vAlign w:val="center"/>
          </w:tcPr>
          <w:p w14:paraId="1F27B68B" w14:textId="3F1DBA82" w:rsidR="008B0FF1" w:rsidRPr="00EC2ED0" w:rsidRDefault="008B0FF1" w:rsidP="00765913">
            <w:pPr>
              <w:pStyle w:val="Subtitle"/>
              <w:rPr>
                <w:color w:val="000000" w:themeColor="text1"/>
                <w:w w:val="98"/>
              </w:rPr>
            </w:pPr>
            <w:r w:rsidRPr="00EC2ED0">
              <w:rPr>
                <w:color w:val="000000" w:themeColor="text1"/>
              </w:rPr>
              <w:t>RE4</w:t>
            </w:r>
          </w:p>
        </w:tc>
        <w:tc>
          <w:tcPr>
            <w:tcW w:w="1249" w:type="pct"/>
            <w:tcBorders>
              <w:left w:val="nil"/>
              <w:right w:val="nil"/>
            </w:tcBorders>
            <w:vAlign w:val="center"/>
          </w:tcPr>
          <w:p w14:paraId="5192ABBE" w14:textId="7288F0F4" w:rsidR="008B0FF1" w:rsidRPr="00EC2ED0" w:rsidRDefault="008B0FF1" w:rsidP="00765913">
            <w:pPr>
              <w:pStyle w:val="Subtitle"/>
              <w:rPr>
                <w:color w:val="000000" w:themeColor="text1"/>
                <w:w w:val="98"/>
              </w:rPr>
            </w:pPr>
            <w:r w:rsidRPr="00EC2ED0">
              <w:rPr>
                <w:color w:val="000000" w:themeColor="text1"/>
              </w:rPr>
              <w:t>Process stability and consistency</w:t>
            </w:r>
          </w:p>
        </w:tc>
        <w:tc>
          <w:tcPr>
            <w:tcW w:w="865" w:type="pct"/>
            <w:tcBorders>
              <w:left w:val="nil"/>
              <w:right w:val="nil"/>
            </w:tcBorders>
            <w:vAlign w:val="center"/>
          </w:tcPr>
          <w:p w14:paraId="02D3692D" w14:textId="0A90B7C8" w:rsidR="008B0FF1" w:rsidRPr="00EC2ED0" w:rsidRDefault="008B0FF1" w:rsidP="00722C24">
            <w:pPr>
              <w:pStyle w:val="Subtitle"/>
              <w:jc w:val="center"/>
              <w:rPr>
                <w:color w:val="000000" w:themeColor="text1"/>
                <w:w w:val="98"/>
              </w:rPr>
            </w:pPr>
            <w:r w:rsidRPr="00EC2ED0">
              <w:rPr>
                <w:color w:val="000000" w:themeColor="text1"/>
              </w:rPr>
              <w:t>0.771</w:t>
            </w:r>
          </w:p>
        </w:tc>
        <w:tc>
          <w:tcPr>
            <w:tcW w:w="880" w:type="pct"/>
            <w:tcBorders>
              <w:left w:val="nil"/>
              <w:right w:val="nil"/>
            </w:tcBorders>
            <w:vAlign w:val="center"/>
          </w:tcPr>
          <w:p w14:paraId="03768BF6" w14:textId="6CE71FF0" w:rsidR="008B0FF1" w:rsidRPr="00EC2ED0" w:rsidRDefault="008B0FF1" w:rsidP="00722C24">
            <w:pPr>
              <w:pStyle w:val="Subtitle"/>
              <w:jc w:val="center"/>
              <w:rPr>
                <w:color w:val="000000" w:themeColor="text1"/>
                <w:w w:val="98"/>
              </w:rPr>
            </w:pPr>
            <w:r w:rsidRPr="00EC2ED0">
              <w:rPr>
                <w:color w:val="000000" w:themeColor="text1"/>
              </w:rPr>
              <w:t>0.836</w:t>
            </w:r>
          </w:p>
        </w:tc>
        <w:tc>
          <w:tcPr>
            <w:tcW w:w="687" w:type="pct"/>
            <w:tcBorders>
              <w:left w:val="nil"/>
            </w:tcBorders>
            <w:vAlign w:val="center"/>
          </w:tcPr>
          <w:p w14:paraId="4BD5DC64" w14:textId="012CAB38" w:rsidR="008B0FF1" w:rsidRPr="00EC2ED0" w:rsidRDefault="008B0FF1" w:rsidP="00C9116A">
            <w:pPr>
              <w:pStyle w:val="Subtitle"/>
              <w:jc w:val="center"/>
              <w:rPr>
                <w:color w:val="000000" w:themeColor="text1"/>
                <w:w w:val="98"/>
              </w:rPr>
            </w:pPr>
            <w:r w:rsidRPr="00EC2ED0">
              <w:rPr>
                <w:color w:val="000000" w:themeColor="text1"/>
              </w:rPr>
              <w:t>Yuen &amp; Thai (2015)</w:t>
            </w:r>
          </w:p>
        </w:tc>
      </w:tr>
      <w:tr w:rsidR="00EC2ED0" w:rsidRPr="00EC2ED0" w14:paraId="527E4982" w14:textId="77777777" w:rsidTr="00FA25F9">
        <w:tc>
          <w:tcPr>
            <w:tcW w:w="913" w:type="pct"/>
            <w:vMerge/>
            <w:tcBorders>
              <w:bottom w:val="single" w:sz="6" w:space="0" w:color="auto"/>
              <w:right w:val="nil"/>
            </w:tcBorders>
            <w:vAlign w:val="center"/>
          </w:tcPr>
          <w:p w14:paraId="26445493" w14:textId="77777777" w:rsidR="008B0FF1" w:rsidRPr="00EC2ED0" w:rsidRDefault="008B0FF1" w:rsidP="00086025">
            <w:pPr>
              <w:pStyle w:val="Subtitle"/>
              <w:rPr>
                <w:color w:val="000000" w:themeColor="text1"/>
                <w:w w:val="98"/>
              </w:rPr>
            </w:pPr>
          </w:p>
        </w:tc>
        <w:tc>
          <w:tcPr>
            <w:tcW w:w="406" w:type="pct"/>
            <w:tcBorders>
              <w:left w:val="nil"/>
              <w:bottom w:val="single" w:sz="6" w:space="0" w:color="auto"/>
              <w:right w:val="nil"/>
            </w:tcBorders>
            <w:vAlign w:val="center"/>
          </w:tcPr>
          <w:p w14:paraId="266D4B51" w14:textId="29B13B9E" w:rsidR="008B0FF1" w:rsidRPr="00EC2ED0" w:rsidRDefault="008B0FF1" w:rsidP="00765913">
            <w:pPr>
              <w:pStyle w:val="Subtitle"/>
              <w:rPr>
                <w:color w:val="000000" w:themeColor="text1"/>
                <w:w w:val="98"/>
              </w:rPr>
            </w:pPr>
            <w:r w:rsidRPr="00EC2ED0">
              <w:rPr>
                <w:color w:val="000000" w:themeColor="text1"/>
              </w:rPr>
              <w:t>RE5</w:t>
            </w:r>
          </w:p>
        </w:tc>
        <w:tc>
          <w:tcPr>
            <w:tcW w:w="1249" w:type="pct"/>
            <w:tcBorders>
              <w:left w:val="nil"/>
              <w:bottom w:val="single" w:sz="6" w:space="0" w:color="auto"/>
              <w:right w:val="nil"/>
            </w:tcBorders>
            <w:vAlign w:val="center"/>
          </w:tcPr>
          <w:p w14:paraId="49EF39F1" w14:textId="0F48DFB0" w:rsidR="008B0FF1" w:rsidRPr="00EC2ED0" w:rsidRDefault="008B0FF1" w:rsidP="00765913">
            <w:pPr>
              <w:pStyle w:val="Subtitle"/>
              <w:rPr>
                <w:color w:val="000000" w:themeColor="text1"/>
                <w:w w:val="98"/>
              </w:rPr>
            </w:pPr>
            <w:r w:rsidRPr="00EC2ED0">
              <w:rPr>
                <w:color w:val="000000" w:themeColor="text1"/>
              </w:rPr>
              <w:t>Quality and condition of empty containers</w:t>
            </w:r>
          </w:p>
        </w:tc>
        <w:tc>
          <w:tcPr>
            <w:tcW w:w="865" w:type="pct"/>
            <w:tcBorders>
              <w:left w:val="nil"/>
              <w:bottom w:val="single" w:sz="6" w:space="0" w:color="auto"/>
              <w:right w:val="nil"/>
            </w:tcBorders>
            <w:vAlign w:val="center"/>
          </w:tcPr>
          <w:p w14:paraId="798EB262" w14:textId="79BA2642" w:rsidR="008B0FF1" w:rsidRPr="00EC2ED0" w:rsidRDefault="008B0FF1" w:rsidP="00722C24">
            <w:pPr>
              <w:pStyle w:val="Subtitle"/>
              <w:jc w:val="center"/>
              <w:rPr>
                <w:color w:val="000000" w:themeColor="text1"/>
                <w:w w:val="98"/>
              </w:rPr>
            </w:pPr>
            <w:r w:rsidRPr="00EC2ED0">
              <w:rPr>
                <w:color w:val="000000" w:themeColor="text1"/>
              </w:rPr>
              <w:t>0.598</w:t>
            </w:r>
          </w:p>
        </w:tc>
        <w:tc>
          <w:tcPr>
            <w:tcW w:w="880" w:type="pct"/>
            <w:tcBorders>
              <w:left w:val="nil"/>
              <w:bottom w:val="single" w:sz="6" w:space="0" w:color="auto"/>
              <w:right w:val="nil"/>
            </w:tcBorders>
            <w:vAlign w:val="center"/>
          </w:tcPr>
          <w:p w14:paraId="725E3FA7" w14:textId="755AA6D3" w:rsidR="008B0FF1" w:rsidRPr="00EC2ED0" w:rsidRDefault="008B0FF1" w:rsidP="00722C24">
            <w:pPr>
              <w:pStyle w:val="Subtitle"/>
              <w:jc w:val="center"/>
              <w:rPr>
                <w:color w:val="000000" w:themeColor="text1"/>
                <w:w w:val="98"/>
              </w:rPr>
            </w:pPr>
            <w:r w:rsidRPr="00EC2ED0">
              <w:rPr>
                <w:color w:val="000000" w:themeColor="text1"/>
              </w:rPr>
              <w:t>0.873</w:t>
            </w:r>
          </w:p>
        </w:tc>
        <w:tc>
          <w:tcPr>
            <w:tcW w:w="687" w:type="pct"/>
            <w:tcBorders>
              <w:left w:val="nil"/>
              <w:bottom w:val="single" w:sz="6" w:space="0" w:color="auto"/>
            </w:tcBorders>
            <w:vAlign w:val="center"/>
          </w:tcPr>
          <w:p w14:paraId="7AEF8996" w14:textId="033E2E92" w:rsidR="008B0FF1" w:rsidRPr="00EC2ED0" w:rsidRDefault="008B0FF1" w:rsidP="00C9116A">
            <w:pPr>
              <w:pStyle w:val="Subtitle"/>
              <w:jc w:val="center"/>
              <w:rPr>
                <w:color w:val="000000" w:themeColor="text1"/>
                <w:w w:val="98"/>
              </w:rPr>
            </w:pPr>
            <w:r w:rsidRPr="00EC2ED0">
              <w:rPr>
                <w:color w:val="000000" w:themeColor="text1"/>
              </w:rPr>
              <w:t>Lun et al. (2016)</w:t>
            </w:r>
          </w:p>
        </w:tc>
      </w:tr>
      <w:tr w:rsidR="00EC2ED0" w:rsidRPr="00EC2ED0" w14:paraId="15B9F4BC" w14:textId="77777777" w:rsidTr="00FA25F9">
        <w:tc>
          <w:tcPr>
            <w:tcW w:w="913" w:type="pct"/>
            <w:vMerge w:val="restart"/>
            <w:tcBorders>
              <w:top w:val="single" w:sz="6" w:space="0" w:color="auto"/>
              <w:right w:val="nil"/>
            </w:tcBorders>
            <w:vAlign w:val="center"/>
          </w:tcPr>
          <w:p w14:paraId="4273CFDF" w14:textId="77777777" w:rsidR="007C1CAB" w:rsidRPr="00EC2ED0" w:rsidRDefault="007C1CAB" w:rsidP="00086025">
            <w:pPr>
              <w:pStyle w:val="Subtitle"/>
              <w:rPr>
                <w:rStyle w:val="Strong"/>
                <w:b w:val="0"/>
                <w:bCs w:val="0"/>
                <w:color w:val="000000" w:themeColor="text1"/>
              </w:rPr>
            </w:pPr>
            <w:r w:rsidRPr="00EC2ED0">
              <w:rPr>
                <w:rStyle w:val="Strong"/>
                <w:b w:val="0"/>
                <w:bCs w:val="0"/>
                <w:color w:val="000000" w:themeColor="text1"/>
              </w:rPr>
              <w:t>Employee competence (EMP)</w:t>
            </w:r>
          </w:p>
          <w:p w14:paraId="51D6F08B" w14:textId="6309E8EF" w:rsidR="00513E84" w:rsidRPr="00EC2ED0" w:rsidRDefault="00513E84" w:rsidP="00086025">
            <w:pPr>
              <w:pStyle w:val="Subtitle"/>
              <w:rPr>
                <w:color w:val="000000" w:themeColor="text1"/>
              </w:rPr>
            </w:pPr>
            <w:r w:rsidRPr="00EC2ED0">
              <w:rPr>
                <w:color w:val="000000" w:themeColor="text1"/>
              </w:rPr>
              <w:lastRenderedPageBreak/>
              <w:t>(α = 0.911)</w:t>
            </w:r>
          </w:p>
        </w:tc>
        <w:tc>
          <w:tcPr>
            <w:tcW w:w="406" w:type="pct"/>
            <w:tcBorders>
              <w:top w:val="single" w:sz="6" w:space="0" w:color="auto"/>
              <w:left w:val="nil"/>
              <w:bottom w:val="nil"/>
              <w:right w:val="nil"/>
            </w:tcBorders>
            <w:vAlign w:val="center"/>
          </w:tcPr>
          <w:p w14:paraId="3DD6E90D" w14:textId="5D8D65D8" w:rsidR="007C1CAB" w:rsidRPr="00EC2ED0" w:rsidRDefault="007C1CAB" w:rsidP="00765913">
            <w:pPr>
              <w:pStyle w:val="Subtitle"/>
              <w:rPr>
                <w:color w:val="000000" w:themeColor="text1"/>
                <w:w w:val="98"/>
              </w:rPr>
            </w:pPr>
            <w:r w:rsidRPr="00EC2ED0">
              <w:rPr>
                <w:color w:val="000000" w:themeColor="text1"/>
              </w:rPr>
              <w:lastRenderedPageBreak/>
              <w:t>EMP1</w:t>
            </w:r>
          </w:p>
        </w:tc>
        <w:tc>
          <w:tcPr>
            <w:tcW w:w="1249" w:type="pct"/>
            <w:tcBorders>
              <w:top w:val="single" w:sz="6" w:space="0" w:color="auto"/>
              <w:left w:val="nil"/>
              <w:bottom w:val="nil"/>
              <w:right w:val="nil"/>
            </w:tcBorders>
            <w:vAlign w:val="center"/>
          </w:tcPr>
          <w:p w14:paraId="78B7686B" w14:textId="1488EC26" w:rsidR="007C1CAB" w:rsidRPr="00EC2ED0" w:rsidRDefault="007C1CAB" w:rsidP="00765913">
            <w:pPr>
              <w:pStyle w:val="Subtitle"/>
              <w:rPr>
                <w:color w:val="000000" w:themeColor="text1"/>
                <w:w w:val="98"/>
              </w:rPr>
            </w:pPr>
            <w:r w:rsidRPr="00EC2ED0">
              <w:rPr>
                <w:color w:val="000000" w:themeColor="text1"/>
              </w:rPr>
              <w:t>Knowledge of shipping line procedures and regulations</w:t>
            </w:r>
          </w:p>
        </w:tc>
        <w:tc>
          <w:tcPr>
            <w:tcW w:w="865" w:type="pct"/>
            <w:tcBorders>
              <w:top w:val="single" w:sz="6" w:space="0" w:color="auto"/>
              <w:left w:val="nil"/>
              <w:bottom w:val="nil"/>
              <w:right w:val="nil"/>
            </w:tcBorders>
            <w:vAlign w:val="center"/>
          </w:tcPr>
          <w:p w14:paraId="2F2DC2C3" w14:textId="63D82C71" w:rsidR="007C1CAB" w:rsidRPr="00EC2ED0" w:rsidRDefault="007C1CAB" w:rsidP="00722C24">
            <w:pPr>
              <w:pStyle w:val="Subtitle"/>
              <w:jc w:val="center"/>
              <w:rPr>
                <w:color w:val="000000" w:themeColor="text1"/>
                <w:w w:val="98"/>
              </w:rPr>
            </w:pPr>
            <w:r w:rsidRPr="00EC2ED0">
              <w:rPr>
                <w:color w:val="000000" w:themeColor="text1"/>
              </w:rPr>
              <w:t>0.796</w:t>
            </w:r>
          </w:p>
        </w:tc>
        <w:tc>
          <w:tcPr>
            <w:tcW w:w="880" w:type="pct"/>
            <w:tcBorders>
              <w:top w:val="single" w:sz="6" w:space="0" w:color="auto"/>
              <w:left w:val="nil"/>
              <w:bottom w:val="nil"/>
              <w:right w:val="nil"/>
            </w:tcBorders>
            <w:vAlign w:val="center"/>
          </w:tcPr>
          <w:p w14:paraId="09959047" w14:textId="772DE58E" w:rsidR="007C1CAB" w:rsidRPr="00EC2ED0" w:rsidRDefault="007C1CAB" w:rsidP="00722C24">
            <w:pPr>
              <w:pStyle w:val="Subtitle"/>
              <w:jc w:val="center"/>
              <w:rPr>
                <w:color w:val="000000" w:themeColor="text1"/>
                <w:w w:val="98"/>
              </w:rPr>
            </w:pPr>
            <w:r w:rsidRPr="00EC2ED0">
              <w:rPr>
                <w:color w:val="000000" w:themeColor="text1"/>
              </w:rPr>
              <w:t>0.888</w:t>
            </w:r>
          </w:p>
        </w:tc>
        <w:tc>
          <w:tcPr>
            <w:tcW w:w="687" w:type="pct"/>
            <w:tcBorders>
              <w:top w:val="single" w:sz="6" w:space="0" w:color="auto"/>
              <w:left w:val="nil"/>
              <w:bottom w:val="nil"/>
            </w:tcBorders>
            <w:vAlign w:val="center"/>
          </w:tcPr>
          <w:p w14:paraId="4E22523E" w14:textId="5D28D05E" w:rsidR="007C1CAB" w:rsidRPr="00EC2ED0" w:rsidRDefault="007C1CAB" w:rsidP="00C9116A">
            <w:pPr>
              <w:pStyle w:val="Subtitle"/>
              <w:jc w:val="center"/>
              <w:rPr>
                <w:color w:val="000000" w:themeColor="text1"/>
                <w:w w:val="98"/>
              </w:rPr>
            </w:pPr>
            <w:r w:rsidRPr="00EC2ED0">
              <w:rPr>
                <w:color w:val="000000" w:themeColor="text1"/>
              </w:rPr>
              <w:t>Yuen &amp; Thai (2015)</w:t>
            </w:r>
          </w:p>
        </w:tc>
      </w:tr>
      <w:tr w:rsidR="00EC2ED0" w:rsidRPr="00EC2ED0" w14:paraId="3B32994D" w14:textId="77777777" w:rsidTr="00FA25F9">
        <w:tc>
          <w:tcPr>
            <w:tcW w:w="913" w:type="pct"/>
            <w:vMerge/>
            <w:tcBorders>
              <w:right w:val="nil"/>
            </w:tcBorders>
            <w:vAlign w:val="center"/>
          </w:tcPr>
          <w:p w14:paraId="19EE8C78" w14:textId="77777777" w:rsidR="007C1CAB" w:rsidRPr="00EC2ED0" w:rsidRDefault="007C1CAB" w:rsidP="00086025">
            <w:pPr>
              <w:pStyle w:val="Subtitle"/>
              <w:rPr>
                <w:color w:val="000000" w:themeColor="text1"/>
                <w:w w:val="98"/>
              </w:rPr>
            </w:pPr>
          </w:p>
        </w:tc>
        <w:tc>
          <w:tcPr>
            <w:tcW w:w="406" w:type="pct"/>
            <w:tcBorders>
              <w:top w:val="nil"/>
              <w:left w:val="nil"/>
              <w:bottom w:val="nil"/>
              <w:right w:val="nil"/>
            </w:tcBorders>
            <w:vAlign w:val="center"/>
          </w:tcPr>
          <w:p w14:paraId="6F8F8599" w14:textId="01CE8C34" w:rsidR="007C1CAB" w:rsidRPr="00EC2ED0" w:rsidRDefault="007C1CAB" w:rsidP="00765913">
            <w:pPr>
              <w:pStyle w:val="Subtitle"/>
              <w:rPr>
                <w:color w:val="000000" w:themeColor="text1"/>
                <w:w w:val="98"/>
              </w:rPr>
            </w:pPr>
            <w:r w:rsidRPr="00EC2ED0">
              <w:rPr>
                <w:color w:val="000000" w:themeColor="text1"/>
              </w:rPr>
              <w:t>EMP2</w:t>
            </w:r>
          </w:p>
        </w:tc>
        <w:tc>
          <w:tcPr>
            <w:tcW w:w="1249" w:type="pct"/>
            <w:tcBorders>
              <w:top w:val="nil"/>
              <w:left w:val="nil"/>
              <w:bottom w:val="nil"/>
              <w:right w:val="nil"/>
            </w:tcBorders>
            <w:vAlign w:val="center"/>
          </w:tcPr>
          <w:p w14:paraId="70052CA6" w14:textId="6BE56980" w:rsidR="007C1CAB" w:rsidRPr="00EC2ED0" w:rsidRDefault="007C1CAB" w:rsidP="00765913">
            <w:pPr>
              <w:pStyle w:val="Subtitle"/>
              <w:rPr>
                <w:color w:val="000000" w:themeColor="text1"/>
                <w:w w:val="98"/>
              </w:rPr>
            </w:pPr>
            <w:r w:rsidRPr="00EC2ED0">
              <w:rPr>
                <w:color w:val="000000" w:themeColor="text1"/>
              </w:rPr>
              <w:t>Accuracy in handling import documentation</w:t>
            </w:r>
          </w:p>
        </w:tc>
        <w:tc>
          <w:tcPr>
            <w:tcW w:w="865" w:type="pct"/>
            <w:tcBorders>
              <w:top w:val="nil"/>
              <w:left w:val="nil"/>
              <w:bottom w:val="nil"/>
              <w:right w:val="nil"/>
            </w:tcBorders>
            <w:vAlign w:val="center"/>
          </w:tcPr>
          <w:p w14:paraId="118ED611" w14:textId="5B0D3FB3" w:rsidR="007C1CAB" w:rsidRPr="00EC2ED0" w:rsidRDefault="007C1CAB" w:rsidP="00722C24">
            <w:pPr>
              <w:pStyle w:val="Subtitle"/>
              <w:jc w:val="center"/>
              <w:rPr>
                <w:color w:val="000000" w:themeColor="text1"/>
                <w:w w:val="98"/>
              </w:rPr>
            </w:pPr>
            <w:r w:rsidRPr="00EC2ED0">
              <w:rPr>
                <w:color w:val="000000" w:themeColor="text1"/>
              </w:rPr>
              <w:t>0.786</w:t>
            </w:r>
          </w:p>
        </w:tc>
        <w:tc>
          <w:tcPr>
            <w:tcW w:w="880" w:type="pct"/>
            <w:tcBorders>
              <w:top w:val="nil"/>
              <w:left w:val="nil"/>
              <w:bottom w:val="nil"/>
              <w:right w:val="nil"/>
            </w:tcBorders>
            <w:vAlign w:val="center"/>
          </w:tcPr>
          <w:p w14:paraId="2FB70419" w14:textId="26518BAC" w:rsidR="007C1CAB" w:rsidRPr="00EC2ED0" w:rsidRDefault="007C1CAB" w:rsidP="00722C24">
            <w:pPr>
              <w:pStyle w:val="Subtitle"/>
              <w:jc w:val="center"/>
              <w:rPr>
                <w:color w:val="000000" w:themeColor="text1"/>
                <w:w w:val="98"/>
              </w:rPr>
            </w:pPr>
            <w:r w:rsidRPr="00EC2ED0">
              <w:rPr>
                <w:color w:val="000000" w:themeColor="text1"/>
              </w:rPr>
              <w:t>0.889</w:t>
            </w:r>
          </w:p>
        </w:tc>
        <w:tc>
          <w:tcPr>
            <w:tcW w:w="687" w:type="pct"/>
            <w:tcBorders>
              <w:top w:val="nil"/>
              <w:left w:val="nil"/>
              <w:bottom w:val="nil"/>
            </w:tcBorders>
            <w:vAlign w:val="center"/>
          </w:tcPr>
          <w:p w14:paraId="74069297" w14:textId="30503E4D" w:rsidR="007C1CAB" w:rsidRPr="00EC2ED0" w:rsidRDefault="007C1CAB" w:rsidP="00C9116A">
            <w:pPr>
              <w:pStyle w:val="Subtitle"/>
              <w:jc w:val="center"/>
              <w:rPr>
                <w:color w:val="000000" w:themeColor="text1"/>
                <w:w w:val="98"/>
              </w:rPr>
            </w:pPr>
            <w:r w:rsidRPr="00EC2ED0">
              <w:rPr>
                <w:color w:val="000000" w:themeColor="text1"/>
              </w:rPr>
              <w:t>Purwoko (2022)</w:t>
            </w:r>
          </w:p>
        </w:tc>
      </w:tr>
      <w:tr w:rsidR="00EC2ED0" w:rsidRPr="00EC2ED0" w14:paraId="3A985C5C" w14:textId="77777777" w:rsidTr="00FA25F9">
        <w:tc>
          <w:tcPr>
            <w:tcW w:w="913" w:type="pct"/>
            <w:vMerge/>
            <w:tcBorders>
              <w:right w:val="nil"/>
            </w:tcBorders>
            <w:vAlign w:val="center"/>
          </w:tcPr>
          <w:p w14:paraId="1F2FEEEC" w14:textId="77777777" w:rsidR="007C1CAB" w:rsidRPr="00EC2ED0" w:rsidRDefault="007C1CAB" w:rsidP="00086025">
            <w:pPr>
              <w:pStyle w:val="Subtitle"/>
              <w:rPr>
                <w:color w:val="000000" w:themeColor="text1"/>
                <w:w w:val="98"/>
              </w:rPr>
            </w:pPr>
          </w:p>
        </w:tc>
        <w:tc>
          <w:tcPr>
            <w:tcW w:w="406" w:type="pct"/>
            <w:tcBorders>
              <w:top w:val="nil"/>
              <w:left w:val="nil"/>
              <w:bottom w:val="nil"/>
              <w:right w:val="nil"/>
            </w:tcBorders>
            <w:vAlign w:val="center"/>
          </w:tcPr>
          <w:p w14:paraId="0CEDA64F" w14:textId="1172EF96" w:rsidR="007C1CAB" w:rsidRPr="00EC2ED0" w:rsidRDefault="007C1CAB" w:rsidP="00765913">
            <w:pPr>
              <w:pStyle w:val="Subtitle"/>
              <w:rPr>
                <w:color w:val="000000" w:themeColor="text1"/>
                <w:w w:val="98"/>
              </w:rPr>
            </w:pPr>
            <w:r w:rsidRPr="00EC2ED0">
              <w:rPr>
                <w:color w:val="000000" w:themeColor="text1"/>
              </w:rPr>
              <w:t>EMP3</w:t>
            </w:r>
          </w:p>
        </w:tc>
        <w:tc>
          <w:tcPr>
            <w:tcW w:w="1249" w:type="pct"/>
            <w:tcBorders>
              <w:top w:val="nil"/>
              <w:left w:val="nil"/>
              <w:bottom w:val="nil"/>
              <w:right w:val="nil"/>
            </w:tcBorders>
            <w:vAlign w:val="center"/>
          </w:tcPr>
          <w:p w14:paraId="1411DE9F" w14:textId="015DF848" w:rsidR="007C1CAB" w:rsidRPr="00EC2ED0" w:rsidRDefault="007C1CAB" w:rsidP="00765913">
            <w:pPr>
              <w:pStyle w:val="Subtitle"/>
              <w:rPr>
                <w:color w:val="000000" w:themeColor="text1"/>
                <w:w w:val="98"/>
              </w:rPr>
            </w:pPr>
            <w:r w:rsidRPr="00EC2ED0">
              <w:rPr>
                <w:color w:val="000000" w:themeColor="text1"/>
              </w:rPr>
              <w:t>Ability to resolve operational issues quickly</w:t>
            </w:r>
          </w:p>
        </w:tc>
        <w:tc>
          <w:tcPr>
            <w:tcW w:w="865" w:type="pct"/>
            <w:tcBorders>
              <w:top w:val="nil"/>
              <w:left w:val="nil"/>
              <w:bottom w:val="nil"/>
              <w:right w:val="nil"/>
            </w:tcBorders>
            <w:vAlign w:val="center"/>
          </w:tcPr>
          <w:p w14:paraId="0C963CE7" w14:textId="0D0A8AC5" w:rsidR="007C1CAB" w:rsidRPr="00EC2ED0" w:rsidRDefault="007C1CAB" w:rsidP="00722C24">
            <w:pPr>
              <w:pStyle w:val="Subtitle"/>
              <w:jc w:val="center"/>
              <w:rPr>
                <w:color w:val="000000" w:themeColor="text1"/>
                <w:w w:val="98"/>
              </w:rPr>
            </w:pPr>
            <w:r w:rsidRPr="00EC2ED0">
              <w:rPr>
                <w:color w:val="000000" w:themeColor="text1"/>
              </w:rPr>
              <w:t>0.779</w:t>
            </w:r>
          </w:p>
        </w:tc>
        <w:tc>
          <w:tcPr>
            <w:tcW w:w="880" w:type="pct"/>
            <w:tcBorders>
              <w:top w:val="nil"/>
              <w:left w:val="nil"/>
              <w:bottom w:val="nil"/>
              <w:right w:val="nil"/>
            </w:tcBorders>
            <w:vAlign w:val="center"/>
          </w:tcPr>
          <w:p w14:paraId="7AAB13CD" w14:textId="687A6C46" w:rsidR="007C1CAB" w:rsidRPr="00EC2ED0" w:rsidRDefault="007C1CAB" w:rsidP="00722C24">
            <w:pPr>
              <w:pStyle w:val="Subtitle"/>
              <w:jc w:val="center"/>
              <w:rPr>
                <w:color w:val="000000" w:themeColor="text1"/>
                <w:w w:val="98"/>
              </w:rPr>
            </w:pPr>
            <w:r w:rsidRPr="00EC2ED0">
              <w:rPr>
                <w:color w:val="000000" w:themeColor="text1"/>
              </w:rPr>
              <w:t>0.890</w:t>
            </w:r>
          </w:p>
        </w:tc>
        <w:tc>
          <w:tcPr>
            <w:tcW w:w="687" w:type="pct"/>
            <w:tcBorders>
              <w:top w:val="nil"/>
              <w:left w:val="nil"/>
              <w:bottom w:val="nil"/>
            </w:tcBorders>
            <w:vAlign w:val="center"/>
          </w:tcPr>
          <w:p w14:paraId="3F084052" w14:textId="6C4E8679" w:rsidR="007C1CAB" w:rsidRPr="00EC2ED0" w:rsidRDefault="007C1CAB" w:rsidP="00C9116A">
            <w:pPr>
              <w:pStyle w:val="Subtitle"/>
              <w:jc w:val="center"/>
              <w:rPr>
                <w:color w:val="000000" w:themeColor="text1"/>
                <w:w w:val="98"/>
              </w:rPr>
            </w:pPr>
            <w:r w:rsidRPr="00EC2ED0">
              <w:rPr>
                <w:color w:val="000000" w:themeColor="text1"/>
              </w:rPr>
              <w:t>Thai (2013)</w:t>
            </w:r>
          </w:p>
        </w:tc>
      </w:tr>
      <w:tr w:rsidR="00EC2ED0" w:rsidRPr="00EC2ED0" w14:paraId="66D50FC6" w14:textId="77777777" w:rsidTr="00FA25F9">
        <w:tc>
          <w:tcPr>
            <w:tcW w:w="913" w:type="pct"/>
            <w:vMerge/>
            <w:tcBorders>
              <w:right w:val="nil"/>
            </w:tcBorders>
            <w:vAlign w:val="center"/>
          </w:tcPr>
          <w:p w14:paraId="021C15B5" w14:textId="77777777" w:rsidR="007C1CAB" w:rsidRPr="00EC2ED0" w:rsidRDefault="007C1CAB" w:rsidP="00086025">
            <w:pPr>
              <w:pStyle w:val="Subtitle"/>
              <w:rPr>
                <w:color w:val="000000" w:themeColor="text1"/>
                <w:w w:val="98"/>
              </w:rPr>
            </w:pPr>
          </w:p>
        </w:tc>
        <w:tc>
          <w:tcPr>
            <w:tcW w:w="406" w:type="pct"/>
            <w:tcBorders>
              <w:top w:val="nil"/>
              <w:left w:val="nil"/>
              <w:bottom w:val="nil"/>
              <w:right w:val="nil"/>
            </w:tcBorders>
            <w:vAlign w:val="center"/>
          </w:tcPr>
          <w:p w14:paraId="0A7983E5" w14:textId="1B89B7BC" w:rsidR="007C1CAB" w:rsidRPr="00EC2ED0" w:rsidRDefault="007C1CAB" w:rsidP="00765913">
            <w:pPr>
              <w:pStyle w:val="Subtitle"/>
              <w:rPr>
                <w:color w:val="000000" w:themeColor="text1"/>
                <w:w w:val="98"/>
              </w:rPr>
            </w:pPr>
            <w:r w:rsidRPr="00EC2ED0">
              <w:rPr>
                <w:color w:val="000000" w:themeColor="text1"/>
              </w:rPr>
              <w:t>EMP4</w:t>
            </w:r>
          </w:p>
        </w:tc>
        <w:tc>
          <w:tcPr>
            <w:tcW w:w="1249" w:type="pct"/>
            <w:tcBorders>
              <w:top w:val="nil"/>
              <w:left w:val="nil"/>
              <w:bottom w:val="nil"/>
              <w:right w:val="nil"/>
            </w:tcBorders>
            <w:vAlign w:val="center"/>
          </w:tcPr>
          <w:p w14:paraId="72C59213" w14:textId="0D5A70CE" w:rsidR="007C1CAB" w:rsidRPr="00EC2ED0" w:rsidRDefault="007C1CAB" w:rsidP="00765913">
            <w:pPr>
              <w:pStyle w:val="Subtitle"/>
              <w:rPr>
                <w:color w:val="000000" w:themeColor="text1"/>
                <w:w w:val="98"/>
              </w:rPr>
            </w:pPr>
            <w:r w:rsidRPr="00EC2ED0">
              <w:rPr>
                <w:color w:val="000000" w:themeColor="text1"/>
              </w:rPr>
              <w:t>Professional communication and timely support</w:t>
            </w:r>
          </w:p>
        </w:tc>
        <w:tc>
          <w:tcPr>
            <w:tcW w:w="865" w:type="pct"/>
            <w:tcBorders>
              <w:top w:val="nil"/>
              <w:left w:val="nil"/>
              <w:bottom w:val="nil"/>
              <w:right w:val="nil"/>
            </w:tcBorders>
            <w:vAlign w:val="center"/>
          </w:tcPr>
          <w:p w14:paraId="2081E858" w14:textId="61A64994" w:rsidR="007C1CAB" w:rsidRPr="00EC2ED0" w:rsidRDefault="007C1CAB" w:rsidP="00722C24">
            <w:pPr>
              <w:pStyle w:val="Subtitle"/>
              <w:jc w:val="center"/>
              <w:rPr>
                <w:color w:val="000000" w:themeColor="text1"/>
                <w:w w:val="98"/>
              </w:rPr>
            </w:pPr>
            <w:r w:rsidRPr="00EC2ED0">
              <w:rPr>
                <w:color w:val="000000" w:themeColor="text1"/>
              </w:rPr>
              <w:t>0.703</w:t>
            </w:r>
          </w:p>
        </w:tc>
        <w:tc>
          <w:tcPr>
            <w:tcW w:w="880" w:type="pct"/>
            <w:tcBorders>
              <w:top w:val="nil"/>
              <w:left w:val="nil"/>
              <w:bottom w:val="nil"/>
              <w:right w:val="nil"/>
            </w:tcBorders>
            <w:vAlign w:val="center"/>
          </w:tcPr>
          <w:p w14:paraId="32BB2F7E" w14:textId="43619C31" w:rsidR="007C1CAB" w:rsidRPr="00EC2ED0" w:rsidRDefault="007C1CAB" w:rsidP="00722C24">
            <w:pPr>
              <w:pStyle w:val="Subtitle"/>
              <w:jc w:val="center"/>
              <w:rPr>
                <w:color w:val="000000" w:themeColor="text1"/>
                <w:w w:val="98"/>
              </w:rPr>
            </w:pPr>
            <w:r w:rsidRPr="00EC2ED0">
              <w:rPr>
                <w:color w:val="000000" w:themeColor="text1"/>
              </w:rPr>
              <w:t>0.909</w:t>
            </w:r>
          </w:p>
        </w:tc>
        <w:tc>
          <w:tcPr>
            <w:tcW w:w="687" w:type="pct"/>
            <w:tcBorders>
              <w:top w:val="nil"/>
              <w:left w:val="nil"/>
              <w:bottom w:val="nil"/>
            </w:tcBorders>
            <w:vAlign w:val="center"/>
          </w:tcPr>
          <w:p w14:paraId="40C5297A" w14:textId="4A156AD5" w:rsidR="007C1CAB" w:rsidRPr="00EC2ED0" w:rsidRDefault="007C1CAB" w:rsidP="00C9116A">
            <w:pPr>
              <w:pStyle w:val="Subtitle"/>
              <w:jc w:val="center"/>
              <w:rPr>
                <w:color w:val="000000" w:themeColor="text1"/>
                <w:w w:val="98"/>
              </w:rPr>
            </w:pPr>
            <w:r w:rsidRPr="00EC2ED0">
              <w:rPr>
                <w:color w:val="000000" w:themeColor="text1"/>
              </w:rPr>
              <w:t>Yuen &amp; Thai (2015)</w:t>
            </w:r>
          </w:p>
        </w:tc>
      </w:tr>
      <w:tr w:rsidR="00EC2ED0" w:rsidRPr="00EC2ED0" w14:paraId="3E0B1809" w14:textId="77777777" w:rsidTr="00FA25F9">
        <w:tc>
          <w:tcPr>
            <w:tcW w:w="913" w:type="pct"/>
            <w:vMerge/>
            <w:tcBorders>
              <w:bottom w:val="single" w:sz="6" w:space="0" w:color="auto"/>
              <w:right w:val="nil"/>
            </w:tcBorders>
            <w:vAlign w:val="center"/>
          </w:tcPr>
          <w:p w14:paraId="16CB12B2" w14:textId="77777777" w:rsidR="007C1CAB" w:rsidRPr="00EC2ED0" w:rsidRDefault="007C1CAB" w:rsidP="00086025">
            <w:pPr>
              <w:pStyle w:val="Subtitle"/>
              <w:rPr>
                <w:color w:val="000000" w:themeColor="text1"/>
                <w:w w:val="98"/>
              </w:rPr>
            </w:pPr>
          </w:p>
        </w:tc>
        <w:tc>
          <w:tcPr>
            <w:tcW w:w="406" w:type="pct"/>
            <w:tcBorders>
              <w:top w:val="nil"/>
              <w:left w:val="nil"/>
              <w:bottom w:val="single" w:sz="6" w:space="0" w:color="auto"/>
              <w:right w:val="nil"/>
            </w:tcBorders>
            <w:vAlign w:val="center"/>
          </w:tcPr>
          <w:p w14:paraId="0799027F" w14:textId="32B03CCE" w:rsidR="007C1CAB" w:rsidRPr="00EC2ED0" w:rsidRDefault="007C1CAB" w:rsidP="00765913">
            <w:pPr>
              <w:pStyle w:val="Subtitle"/>
              <w:rPr>
                <w:color w:val="000000" w:themeColor="text1"/>
                <w:w w:val="98"/>
              </w:rPr>
            </w:pPr>
            <w:r w:rsidRPr="00EC2ED0">
              <w:rPr>
                <w:color w:val="000000" w:themeColor="text1"/>
              </w:rPr>
              <w:t>EMP5</w:t>
            </w:r>
          </w:p>
        </w:tc>
        <w:tc>
          <w:tcPr>
            <w:tcW w:w="1249" w:type="pct"/>
            <w:tcBorders>
              <w:top w:val="nil"/>
              <w:left w:val="nil"/>
              <w:bottom w:val="single" w:sz="6" w:space="0" w:color="auto"/>
              <w:right w:val="nil"/>
            </w:tcBorders>
            <w:vAlign w:val="center"/>
          </w:tcPr>
          <w:p w14:paraId="14016EB9" w14:textId="2E1972FE" w:rsidR="007C1CAB" w:rsidRPr="00EC2ED0" w:rsidRDefault="007C1CAB" w:rsidP="00765913">
            <w:pPr>
              <w:pStyle w:val="Subtitle"/>
              <w:rPr>
                <w:color w:val="000000" w:themeColor="text1"/>
                <w:w w:val="98"/>
              </w:rPr>
            </w:pPr>
            <w:r w:rsidRPr="00EC2ED0">
              <w:rPr>
                <w:color w:val="000000" w:themeColor="text1"/>
              </w:rPr>
              <w:t>Effective coordination with related parties</w:t>
            </w:r>
          </w:p>
        </w:tc>
        <w:tc>
          <w:tcPr>
            <w:tcW w:w="865" w:type="pct"/>
            <w:tcBorders>
              <w:top w:val="nil"/>
              <w:left w:val="nil"/>
              <w:bottom w:val="single" w:sz="6" w:space="0" w:color="auto"/>
              <w:right w:val="nil"/>
            </w:tcBorders>
            <w:vAlign w:val="center"/>
          </w:tcPr>
          <w:p w14:paraId="1601659C" w14:textId="215D510B" w:rsidR="007C1CAB" w:rsidRPr="00EC2ED0" w:rsidRDefault="007C1CAB" w:rsidP="00722C24">
            <w:pPr>
              <w:pStyle w:val="Subtitle"/>
              <w:jc w:val="center"/>
              <w:rPr>
                <w:color w:val="000000" w:themeColor="text1"/>
                <w:w w:val="98"/>
              </w:rPr>
            </w:pPr>
            <w:r w:rsidRPr="00EC2ED0">
              <w:rPr>
                <w:color w:val="000000" w:themeColor="text1"/>
              </w:rPr>
              <w:t>0.825</w:t>
            </w:r>
          </w:p>
        </w:tc>
        <w:tc>
          <w:tcPr>
            <w:tcW w:w="880" w:type="pct"/>
            <w:tcBorders>
              <w:top w:val="nil"/>
              <w:left w:val="nil"/>
              <w:bottom w:val="single" w:sz="6" w:space="0" w:color="auto"/>
              <w:right w:val="nil"/>
            </w:tcBorders>
            <w:vAlign w:val="center"/>
          </w:tcPr>
          <w:p w14:paraId="4EA3C034" w14:textId="13FAD383" w:rsidR="007C1CAB" w:rsidRPr="00EC2ED0" w:rsidRDefault="007C1CAB" w:rsidP="00722C24">
            <w:pPr>
              <w:pStyle w:val="Subtitle"/>
              <w:jc w:val="center"/>
              <w:rPr>
                <w:color w:val="000000" w:themeColor="text1"/>
                <w:w w:val="98"/>
              </w:rPr>
            </w:pPr>
            <w:r w:rsidRPr="00EC2ED0">
              <w:rPr>
                <w:color w:val="000000" w:themeColor="text1"/>
              </w:rPr>
              <w:t>0.880</w:t>
            </w:r>
          </w:p>
        </w:tc>
        <w:tc>
          <w:tcPr>
            <w:tcW w:w="687" w:type="pct"/>
            <w:tcBorders>
              <w:top w:val="nil"/>
              <w:left w:val="nil"/>
              <w:bottom w:val="single" w:sz="6" w:space="0" w:color="auto"/>
            </w:tcBorders>
            <w:vAlign w:val="center"/>
          </w:tcPr>
          <w:p w14:paraId="642A18ED" w14:textId="0F64AFDB" w:rsidR="007C1CAB" w:rsidRPr="00EC2ED0" w:rsidRDefault="007C1CAB" w:rsidP="00C9116A">
            <w:pPr>
              <w:pStyle w:val="Subtitle"/>
              <w:jc w:val="center"/>
              <w:rPr>
                <w:color w:val="000000" w:themeColor="text1"/>
                <w:w w:val="98"/>
              </w:rPr>
            </w:pPr>
            <w:r w:rsidRPr="00EC2ED0">
              <w:rPr>
                <w:color w:val="000000" w:themeColor="text1"/>
              </w:rPr>
              <w:t>Lun et al. (2016)</w:t>
            </w:r>
          </w:p>
        </w:tc>
      </w:tr>
      <w:tr w:rsidR="00EC2ED0" w:rsidRPr="00EC2ED0" w14:paraId="281F32B4" w14:textId="77777777" w:rsidTr="00FA25F9">
        <w:tc>
          <w:tcPr>
            <w:tcW w:w="913" w:type="pct"/>
            <w:vMerge w:val="restart"/>
            <w:tcBorders>
              <w:top w:val="single" w:sz="6" w:space="0" w:color="auto"/>
              <w:right w:val="nil"/>
            </w:tcBorders>
            <w:vAlign w:val="center"/>
          </w:tcPr>
          <w:p w14:paraId="6554F96C" w14:textId="77777777" w:rsidR="007C1CAB" w:rsidRPr="00EC2ED0" w:rsidRDefault="007C1CAB" w:rsidP="00086025">
            <w:pPr>
              <w:pStyle w:val="Subtitle"/>
              <w:rPr>
                <w:rStyle w:val="Strong"/>
                <w:b w:val="0"/>
                <w:bCs w:val="0"/>
                <w:color w:val="000000" w:themeColor="text1"/>
              </w:rPr>
            </w:pPr>
            <w:r w:rsidRPr="00EC2ED0">
              <w:rPr>
                <w:rStyle w:val="Strong"/>
                <w:b w:val="0"/>
                <w:bCs w:val="0"/>
                <w:color w:val="000000" w:themeColor="text1"/>
              </w:rPr>
              <w:t>Documentation efficiency (DOC)</w:t>
            </w:r>
          </w:p>
          <w:p w14:paraId="4AA5E63D" w14:textId="07955611" w:rsidR="00513E84" w:rsidRPr="00EC2ED0" w:rsidRDefault="00513E84" w:rsidP="00086025">
            <w:pPr>
              <w:pStyle w:val="Subtitle"/>
              <w:rPr>
                <w:color w:val="000000" w:themeColor="text1"/>
              </w:rPr>
            </w:pPr>
            <w:r w:rsidRPr="00EC2ED0">
              <w:rPr>
                <w:color w:val="000000" w:themeColor="text1"/>
              </w:rPr>
              <w:t>(α = 0.937)</w:t>
            </w:r>
          </w:p>
        </w:tc>
        <w:tc>
          <w:tcPr>
            <w:tcW w:w="406" w:type="pct"/>
            <w:tcBorders>
              <w:top w:val="single" w:sz="6" w:space="0" w:color="auto"/>
              <w:left w:val="nil"/>
              <w:bottom w:val="nil"/>
              <w:right w:val="nil"/>
            </w:tcBorders>
            <w:vAlign w:val="center"/>
          </w:tcPr>
          <w:p w14:paraId="597E8B40" w14:textId="3ADD68B0" w:rsidR="007C1CAB" w:rsidRPr="00EC2ED0" w:rsidRDefault="007C1CAB" w:rsidP="00765913">
            <w:pPr>
              <w:pStyle w:val="Subtitle"/>
              <w:rPr>
                <w:color w:val="000000" w:themeColor="text1"/>
                <w:w w:val="98"/>
              </w:rPr>
            </w:pPr>
            <w:r w:rsidRPr="00EC2ED0">
              <w:rPr>
                <w:color w:val="000000" w:themeColor="text1"/>
              </w:rPr>
              <w:t>DOC1</w:t>
            </w:r>
          </w:p>
        </w:tc>
        <w:tc>
          <w:tcPr>
            <w:tcW w:w="1249" w:type="pct"/>
            <w:tcBorders>
              <w:top w:val="single" w:sz="6" w:space="0" w:color="auto"/>
              <w:left w:val="nil"/>
              <w:bottom w:val="nil"/>
              <w:right w:val="nil"/>
            </w:tcBorders>
            <w:vAlign w:val="center"/>
          </w:tcPr>
          <w:p w14:paraId="66B0EEF7" w14:textId="5B0608BE" w:rsidR="007C1CAB" w:rsidRPr="00EC2ED0" w:rsidRDefault="007C1CAB" w:rsidP="00765913">
            <w:pPr>
              <w:pStyle w:val="Subtitle"/>
              <w:rPr>
                <w:color w:val="000000" w:themeColor="text1"/>
                <w:w w:val="98"/>
              </w:rPr>
            </w:pPr>
            <w:r w:rsidRPr="00EC2ED0">
              <w:rPr>
                <w:color w:val="000000" w:themeColor="text1"/>
              </w:rPr>
              <w:t>Accuracy of HBL/MBL information</w:t>
            </w:r>
          </w:p>
        </w:tc>
        <w:tc>
          <w:tcPr>
            <w:tcW w:w="865" w:type="pct"/>
            <w:tcBorders>
              <w:top w:val="single" w:sz="6" w:space="0" w:color="auto"/>
              <w:left w:val="nil"/>
              <w:bottom w:val="nil"/>
              <w:right w:val="nil"/>
            </w:tcBorders>
            <w:vAlign w:val="center"/>
          </w:tcPr>
          <w:p w14:paraId="2CCC55F8" w14:textId="118A54F1" w:rsidR="007C1CAB" w:rsidRPr="00EC2ED0" w:rsidRDefault="007C1CAB" w:rsidP="00722C24">
            <w:pPr>
              <w:pStyle w:val="Subtitle"/>
              <w:jc w:val="center"/>
              <w:rPr>
                <w:color w:val="000000" w:themeColor="text1"/>
                <w:w w:val="98"/>
              </w:rPr>
            </w:pPr>
            <w:r w:rsidRPr="00EC2ED0">
              <w:rPr>
                <w:color w:val="000000" w:themeColor="text1"/>
              </w:rPr>
              <w:t>0.853</w:t>
            </w:r>
          </w:p>
        </w:tc>
        <w:tc>
          <w:tcPr>
            <w:tcW w:w="880" w:type="pct"/>
            <w:tcBorders>
              <w:top w:val="single" w:sz="6" w:space="0" w:color="auto"/>
              <w:left w:val="nil"/>
              <w:bottom w:val="nil"/>
              <w:right w:val="nil"/>
            </w:tcBorders>
            <w:vAlign w:val="center"/>
          </w:tcPr>
          <w:p w14:paraId="360AD593" w14:textId="02E954F5" w:rsidR="007C1CAB" w:rsidRPr="00EC2ED0" w:rsidRDefault="007C1CAB" w:rsidP="00722C24">
            <w:pPr>
              <w:pStyle w:val="Subtitle"/>
              <w:jc w:val="center"/>
              <w:rPr>
                <w:color w:val="000000" w:themeColor="text1"/>
                <w:w w:val="98"/>
              </w:rPr>
            </w:pPr>
            <w:r w:rsidRPr="00EC2ED0">
              <w:rPr>
                <w:color w:val="000000" w:themeColor="text1"/>
              </w:rPr>
              <w:t>0.918</w:t>
            </w:r>
          </w:p>
        </w:tc>
        <w:tc>
          <w:tcPr>
            <w:tcW w:w="687" w:type="pct"/>
            <w:tcBorders>
              <w:top w:val="single" w:sz="6" w:space="0" w:color="auto"/>
              <w:left w:val="nil"/>
              <w:bottom w:val="nil"/>
            </w:tcBorders>
            <w:vAlign w:val="center"/>
          </w:tcPr>
          <w:p w14:paraId="7A54F3F0" w14:textId="07C1107C" w:rsidR="007C1CAB" w:rsidRPr="00EC2ED0" w:rsidRDefault="007C1CAB" w:rsidP="00C9116A">
            <w:pPr>
              <w:pStyle w:val="Subtitle"/>
              <w:jc w:val="center"/>
              <w:rPr>
                <w:color w:val="000000" w:themeColor="text1"/>
                <w:w w:val="98"/>
              </w:rPr>
            </w:pPr>
            <w:r w:rsidRPr="00EC2ED0">
              <w:rPr>
                <w:color w:val="000000" w:themeColor="text1"/>
              </w:rPr>
              <w:t>Huang et al. (2019)</w:t>
            </w:r>
          </w:p>
        </w:tc>
      </w:tr>
      <w:tr w:rsidR="00EC2ED0" w:rsidRPr="00EC2ED0" w14:paraId="458D05C7" w14:textId="77777777" w:rsidTr="00FA25F9">
        <w:tc>
          <w:tcPr>
            <w:tcW w:w="913" w:type="pct"/>
            <w:vMerge/>
            <w:tcBorders>
              <w:right w:val="nil"/>
            </w:tcBorders>
            <w:vAlign w:val="center"/>
          </w:tcPr>
          <w:p w14:paraId="4FE8E840" w14:textId="77777777" w:rsidR="007C1CAB" w:rsidRPr="00EC2ED0" w:rsidRDefault="007C1CAB" w:rsidP="00086025">
            <w:pPr>
              <w:pStyle w:val="Subtitle"/>
              <w:rPr>
                <w:color w:val="000000" w:themeColor="text1"/>
                <w:w w:val="98"/>
              </w:rPr>
            </w:pPr>
          </w:p>
        </w:tc>
        <w:tc>
          <w:tcPr>
            <w:tcW w:w="406" w:type="pct"/>
            <w:tcBorders>
              <w:top w:val="nil"/>
              <w:left w:val="nil"/>
              <w:bottom w:val="nil"/>
              <w:right w:val="nil"/>
            </w:tcBorders>
            <w:vAlign w:val="center"/>
          </w:tcPr>
          <w:p w14:paraId="3522B651" w14:textId="14A2238A" w:rsidR="007C1CAB" w:rsidRPr="00EC2ED0" w:rsidRDefault="007C1CAB" w:rsidP="00765913">
            <w:pPr>
              <w:pStyle w:val="Subtitle"/>
              <w:rPr>
                <w:color w:val="000000" w:themeColor="text1"/>
                <w:w w:val="98"/>
              </w:rPr>
            </w:pPr>
            <w:r w:rsidRPr="00EC2ED0">
              <w:rPr>
                <w:color w:val="000000" w:themeColor="text1"/>
              </w:rPr>
              <w:t>DOC2</w:t>
            </w:r>
          </w:p>
        </w:tc>
        <w:tc>
          <w:tcPr>
            <w:tcW w:w="1249" w:type="pct"/>
            <w:tcBorders>
              <w:top w:val="nil"/>
              <w:left w:val="nil"/>
              <w:bottom w:val="nil"/>
              <w:right w:val="nil"/>
            </w:tcBorders>
            <w:vAlign w:val="center"/>
          </w:tcPr>
          <w:p w14:paraId="0FB91DD1" w14:textId="2B3A2B58" w:rsidR="007C1CAB" w:rsidRPr="00EC2ED0" w:rsidRDefault="007C1CAB" w:rsidP="00765913">
            <w:pPr>
              <w:pStyle w:val="Subtitle"/>
              <w:rPr>
                <w:color w:val="000000" w:themeColor="text1"/>
                <w:w w:val="98"/>
              </w:rPr>
            </w:pPr>
            <w:r w:rsidRPr="00EC2ED0">
              <w:rPr>
                <w:color w:val="000000" w:themeColor="text1"/>
              </w:rPr>
              <w:t>Timely and correct manifest declaration</w:t>
            </w:r>
          </w:p>
        </w:tc>
        <w:tc>
          <w:tcPr>
            <w:tcW w:w="865" w:type="pct"/>
            <w:tcBorders>
              <w:top w:val="nil"/>
              <w:left w:val="nil"/>
              <w:bottom w:val="nil"/>
              <w:right w:val="nil"/>
            </w:tcBorders>
            <w:vAlign w:val="center"/>
          </w:tcPr>
          <w:p w14:paraId="4BB98CFA" w14:textId="719D8A02" w:rsidR="007C1CAB" w:rsidRPr="00EC2ED0" w:rsidRDefault="007C1CAB" w:rsidP="00722C24">
            <w:pPr>
              <w:pStyle w:val="Subtitle"/>
              <w:jc w:val="center"/>
              <w:rPr>
                <w:color w:val="000000" w:themeColor="text1"/>
                <w:w w:val="98"/>
              </w:rPr>
            </w:pPr>
            <w:r w:rsidRPr="00EC2ED0">
              <w:rPr>
                <w:color w:val="000000" w:themeColor="text1"/>
              </w:rPr>
              <w:t>0.841</w:t>
            </w:r>
          </w:p>
        </w:tc>
        <w:tc>
          <w:tcPr>
            <w:tcW w:w="880" w:type="pct"/>
            <w:tcBorders>
              <w:top w:val="nil"/>
              <w:left w:val="nil"/>
              <w:bottom w:val="nil"/>
              <w:right w:val="nil"/>
            </w:tcBorders>
            <w:vAlign w:val="center"/>
          </w:tcPr>
          <w:p w14:paraId="2862398C" w14:textId="43C47406" w:rsidR="007C1CAB" w:rsidRPr="00EC2ED0" w:rsidRDefault="007C1CAB" w:rsidP="00722C24">
            <w:pPr>
              <w:pStyle w:val="Subtitle"/>
              <w:jc w:val="center"/>
              <w:rPr>
                <w:color w:val="000000" w:themeColor="text1"/>
                <w:w w:val="98"/>
              </w:rPr>
            </w:pPr>
            <w:r w:rsidRPr="00EC2ED0">
              <w:rPr>
                <w:color w:val="000000" w:themeColor="text1"/>
              </w:rPr>
              <w:t>0.921</w:t>
            </w:r>
          </w:p>
        </w:tc>
        <w:tc>
          <w:tcPr>
            <w:tcW w:w="687" w:type="pct"/>
            <w:tcBorders>
              <w:top w:val="nil"/>
              <w:left w:val="nil"/>
              <w:bottom w:val="nil"/>
            </w:tcBorders>
            <w:vAlign w:val="center"/>
          </w:tcPr>
          <w:p w14:paraId="3C4887C3" w14:textId="453E5C2D" w:rsidR="007C1CAB" w:rsidRPr="00EC2ED0" w:rsidRDefault="007C1CAB" w:rsidP="00C9116A">
            <w:pPr>
              <w:pStyle w:val="Subtitle"/>
              <w:jc w:val="center"/>
              <w:rPr>
                <w:color w:val="000000" w:themeColor="text1"/>
                <w:w w:val="98"/>
              </w:rPr>
            </w:pPr>
            <w:r w:rsidRPr="00EC2ED0">
              <w:rPr>
                <w:color w:val="000000" w:themeColor="text1"/>
              </w:rPr>
              <w:t>Purwoko (2022)</w:t>
            </w:r>
          </w:p>
        </w:tc>
      </w:tr>
      <w:tr w:rsidR="00EC2ED0" w:rsidRPr="00EC2ED0" w14:paraId="4490E559" w14:textId="77777777" w:rsidTr="00FA25F9">
        <w:tc>
          <w:tcPr>
            <w:tcW w:w="913" w:type="pct"/>
            <w:vMerge/>
            <w:tcBorders>
              <w:right w:val="nil"/>
            </w:tcBorders>
            <w:vAlign w:val="center"/>
          </w:tcPr>
          <w:p w14:paraId="4E237723" w14:textId="77777777" w:rsidR="007C1CAB" w:rsidRPr="00EC2ED0" w:rsidRDefault="007C1CAB" w:rsidP="00086025">
            <w:pPr>
              <w:pStyle w:val="Subtitle"/>
              <w:rPr>
                <w:color w:val="000000" w:themeColor="text1"/>
                <w:w w:val="98"/>
              </w:rPr>
            </w:pPr>
          </w:p>
        </w:tc>
        <w:tc>
          <w:tcPr>
            <w:tcW w:w="406" w:type="pct"/>
            <w:tcBorders>
              <w:top w:val="nil"/>
              <w:left w:val="nil"/>
              <w:bottom w:val="nil"/>
              <w:right w:val="nil"/>
            </w:tcBorders>
            <w:vAlign w:val="center"/>
          </w:tcPr>
          <w:p w14:paraId="419E5D5F" w14:textId="04630DEE" w:rsidR="007C1CAB" w:rsidRPr="00EC2ED0" w:rsidRDefault="007C1CAB" w:rsidP="00765913">
            <w:pPr>
              <w:pStyle w:val="Subtitle"/>
              <w:rPr>
                <w:color w:val="000000" w:themeColor="text1"/>
                <w:w w:val="98"/>
              </w:rPr>
            </w:pPr>
            <w:r w:rsidRPr="00EC2ED0">
              <w:rPr>
                <w:color w:val="000000" w:themeColor="text1"/>
              </w:rPr>
              <w:t>DOC3</w:t>
            </w:r>
          </w:p>
        </w:tc>
        <w:tc>
          <w:tcPr>
            <w:tcW w:w="1249" w:type="pct"/>
            <w:tcBorders>
              <w:top w:val="nil"/>
              <w:left w:val="nil"/>
              <w:bottom w:val="nil"/>
              <w:right w:val="nil"/>
            </w:tcBorders>
            <w:vAlign w:val="center"/>
          </w:tcPr>
          <w:p w14:paraId="7370CF50" w14:textId="671A264B" w:rsidR="007C1CAB" w:rsidRPr="00EC2ED0" w:rsidRDefault="007C1CAB" w:rsidP="00765913">
            <w:pPr>
              <w:pStyle w:val="Subtitle"/>
              <w:rPr>
                <w:color w:val="000000" w:themeColor="text1"/>
                <w:w w:val="98"/>
              </w:rPr>
            </w:pPr>
            <w:r w:rsidRPr="00EC2ED0">
              <w:rPr>
                <w:color w:val="000000" w:themeColor="text1"/>
              </w:rPr>
              <w:t>Timely issuance of delivery order (D/O)</w:t>
            </w:r>
          </w:p>
        </w:tc>
        <w:tc>
          <w:tcPr>
            <w:tcW w:w="865" w:type="pct"/>
            <w:tcBorders>
              <w:top w:val="nil"/>
              <w:left w:val="nil"/>
              <w:bottom w:val="nil"/>
              <w:right w:val="nil"/>
            </w:tcBorders>
            <w:vAlign w:val="center"/>
          </w:tcPr>
          <w:p w14:paraId="49CE2D0B" w14:textId="713C0C58" w:rsidR="007C1CAB" w:rsidRPr="00EC2ED0" w:rsidRDefault="007C1CAB" w:rsidP="00722C24">
            <w:pPr>
              <w:pStyle w:val="Subtitle"/>
              <w:jc w:val="center"/>
              <w:rPr>
                <w:color w:val="000000" w:themeColor="text1"/>
                <w:w w:val="98"/>
              </w:rPr>
            </w:pPr>
            <w:r w:rsidRPr="00EC2ED0">
              <w:rPr>
                <w:color w:val="000000" w:themeColor="text1"/>
              </w:rPr>
              <w:t>0.803</w:t>
            </w:r>
          </w:p>
        </w:tc>
        <w:tc>
          <w:tcPr>
            <w:tcW w:w="880" w:type="pct"/>
            <w:tcBorders>
              <w:top w:val="nil"/>
              <w:left w:val="nil"/>
              <w:bottom w:val="nil"/>
              <w:right w:val="nil"/>
            </w:tcBorders>
            <w:vAlign w:val="center"/>
          </w:tcPr>
          <w:p w14:paraId="05A2D7F1" w14:textId="27B28AE6" w:rsidR="007C1CAB" w:rsidRPr="00EC2ED0" w:rsidRDefault="007C1CAB" w:rsidP="00722C24">
            <w:pPr>
              <w:pStyle w:val="Subtitle"/>
              <w:jc w:val="center"/>
              <w:rPr>
                <w:color w:val="000000" w:themeColor="text1"/>
                <w:w w:val="98"/>
              </w:rPr>
            </w:pPr>
            <w:r w:rsidRPr="00EC2ED0">
              <w:rPr>
                <w:color w:val="000000" w:themeColor="text1"/>
              </w:rPr>
              <w:t>0.928</w:t>
            </w:r>
          </w:p>
        </w:tc>
        <w:tc>
          <w:tcPr>
            <w:tcW w:w="687" w:type="pct"/>
            <w:tcBorders>
              <w:top w:val="nil"/>
              <w:left w:val="nil"/>
              <w:bottom w:val="nil"/>
            </w:tcBorders>
            <w:vAlign w:val="center"/>
          </w:tcPr>
          <w:p w14:paraId="4723D436" w14:textId="70ADCF05" w:rsidR="007C1CAB" w:rsidRPr="00EC2ED0" w:rsidRDefault="007C1CAB" w:rsidP="00C9116A">
            <w:pPr>
              <w:pStyle w:val="Subtitle"/>
              <w:jc w:val="center"/>
              <w:rPr>
                <w:color w:val="000000" w:themeColor="text1"/>
                <w:w w:val="98"/>
              </w:rPr>
            </w:pPr>
            <w:r w:rsidRPr="00EC2ED0">
              <w:rPr>
                <w:color w:val="000000" w:themeColor="text1"/>
              </w:rPr>
              <w:t>Yuen &amp; Thai (2015)</w:t>
            </w:r>
          </w:p>
        </w:tc>
      </w:tr>
      <w:tr w:rsidR="00EC2ED0" w:rsidRPr="00EC2ED0" w14:paraId="70E5041E" w14:textId="77777777" w:rsidTr="00FA25F9">
        <w:tc>
          <w:tcPr>
            <w:tcW w:w="913" w:type="pct"/>
            <w:vMerge/>
            <w:tcBorders>
              <w:right w:val="nil"/>
            </w:tcBorders>
            <w:vAlign w:val="center"/>
          </w:tcPr>
          <w:p w14:paraId="05BB56FC" w14:textId="77777777" w:rsidR="007C1CAB" w:rsidRPr="00EC2ED0" w:rsidRDefault="007C1CAB" w:rsidP="00086025">
            <w:pPr>
              <w:pStyle w:val="Subtitle"/>
              <w:rPr>
                <w:color w:val="000000" w:themeColor="text1"/>
                <w:w w:val="98"/>
              </w:rPr>
            </w:pPr>
          </w:p>
        </w:tc>
        <w:tc>
          <w:tcPr>
            <w:tcW w:w="406" w:type="pct"/>
            <w:tcBorders>
              <w:top w:val="nil"/>
              <w:left w:val="nil"/>
              <w:bottom w:val="nil"/>
              <w:right w:val="nil"/>
            </w:tcBorders>
            <w:vAlign w:val="center"/>
          </w:tcPr>
          <w:p w14:paraId="7F04B83E" w14:textId="56EBD8CB" w:rsidR="007C1CAB" w:rsidRPr="00EC2ED0" w:rsidRDefault="007C1CAB" w:rsidP="00765913">
            <w:pPr>
              <w:pStyle w:val="Subtitle"/>
              <w:rPr>
                <w:color w:val="000000" w:themeColor="text1"/>
                <w:w w:val="98"/>
              </w:rPr>
            </w:pPr>
            <w:r w:rsidRPr="00EC2ED0">
              <w:rPr>
                <w:color w:val="000000" w:themeColor="text1"/>
              </w:rPr>
              <w:t>DOC4</w:t>
            </w:r>
          </w:p>
        </w:tc>
        <w:tc>
          <w:tcPr>
            <w:tcW w:w="1249" w:type="pct"/>
            <w:tcBorders>
              <w:top w:val="nil"/>
              <w:left w:val="nil"/>
              <w:bottom w:val="nil"/>
              <w:right w:val="nil"/>
            </w:tcBorders>
            <w:vAlign w:val="center"/>
          </w:tcPr>
          <w:p w14:paraId="731D134A" w14:textId="30E8C5D4" w:rsidR="007C1CAB" w:rsidRPr="00EC2ED0" w:rsidRDefault="007C1CAB" w:rsidP="00765913">
            <w:pPr>
              <w:pStyle w:val="Subtitle"/>
              <w:rPr>
                <w:color w:val="000000" w:themeColor="text1"/>
                <w:w w:val="98"/>
              </w:rPr>
            </w:pPr>
            <w:r w:rsidRPr="00EC2ED0">
              <w:rPr>
                <w:color w:val="000000" w:themeColor="text1"/>
              </w:rPr>
              <w:t>Multi-layer document checking procedures</w:t>
            </w:r>
          </w:p>
        </w:tc>
        <w:tc>
          <w:tcPr>
            <w:tcW w:w="865" w:type="pct"/>
            <w:tcBorders>
              <w:top w:val="nil"/>
              <w:left w:val="nil"/>
              <w:bottom w:val="nil"/>
              <w:right w:val="nil"/>
            </w:tcBorders>
            <w:vAlign w:val="center"/>
          </w:tcPr>
          <w:p w14:paraId="3D79E5F5" w14:textId="6CFA26F0" w:rsidR="007C1CAB" w:rsidRPr="00EC2ED0" w:rsidRDefault="007C1CAB" w:rsidP="00722C24">
            <w:pPr>
              <w:pStyle w:val="Subtitle"/>
              <w:jc w:val="center"/>
              <w:rPr>
                <w:color w:val="000000" w:themeColor="text1"/>
                <w:w w:val="98"/>
              </w:rPr>
            </w:pPr>
            <w:r w:rsidRPr="00EC2ED0">
              <w:rPr>
                <w:color w:val="000000" w:themeColor="text1"/>
              </w:rPr>
              <w:t>0.838</w:t>
            </w:r>
          </w:p>
        </w:tc>
        <w:tc>
          <w:tcPr>
            <w:tcW w:w="880" w:type="pct"/>
            <w:tcBorders>
              <w:top w:val="nil"/>
              <w:left w:val="nil"/>
              <w:bottom w:val="nil"/>
              <w:right w:val="nil"/>
            </w:tcBorders>
            <w:vAlign w:val="center"/>
          </w:tcPr>
          <w:p w14:paraId="0877CD63" w14:textId="53B4A59F" w:rsidR="007C1CAB" w:rsidRPr="00EC2ED0" w:rsidRDefault="007C1CAB" w:rsidP="00722C24">
            <w:pPr>
              <w:pStyle w:val="Subtitle"/>
              <w:jc w:val="center"/>
              <w:rPr>
                <w:color w:val="000000" w:themeColor="text1"/>
                <w:w w:val="98"/>
              </w:rPr>
            </w:pPr>
            <w:r w:rsidRPr="00EC2ED0">
              <w:rPr>
                <w:color w:val="000000" w:themeColor="text1"/>
              </w:rPr>
              <w:t>0.921</w:t>
            </w:r>
          </w:p>
        </w:tc>
        <w:tc>
          <w:tcPr>
            <w:tcW w:w="687" w:type="pct"/>
            <w:tcBorders>
              <w:top w:val="nil"/>
              <w:left w:val="nil"/>
              <w:bottom w:val="nil"/>
            </w:tcBorders>
            <w:vAlign w:val="center"/>
          </w:tcPr>
          <w:p w14:paraId="147BEAA2" w14:textId="197DDA9F" w:rsidR="007C1CAB" w:rsidRPr="00EC2ED0" w:rsidRDefault="007C1CAB" w:rsidP="00C9116A">
            <w:pPr>
              <w:pStyle w:val="Subtitle"/>
              <w:jc w:val="center"/>
              <w:rPr>
                <w:color w:val="000000" w:themeColor="text1"/>
                <w:w w:val="98"/>
              </w:rPr>
            </w:pPr>
            <w:r w:rsidRPr="00EC2ED0">
              <w:rPr>
                <w:color w:val="000000" w:themeColor="text1"/>
              </w:rPr>
              <w:t>Thai (2013)</w:t>
            </w:r>
          </w:p>
        </w:tc>
      </w:tr>
      <w:tr w:rsidR="00EC2ED0" w:rsidRPr="00EC2ED0" w14:paraId="640F3089" w14:textId="77777777" w:rsidTr="00FA25F9">
        <w:tc>
          <w:tcPr>
            <w:tcW w:w="913" w:type="pct"/>
            <w:vMerge/>
            <w:tcBorders>
              <w:bottom w:val="single" w:sz="6" w:space="0" w:color="auto"/>
              <w:right w:val="nil"/>
            </w:tcBorders>
            <w:vAlign w:val="center"/>
          </w:tcPr>
          <w:p w14:paraId="1CDBE6BD" w14:textId="77777777" w:rsidR="007C1CAB" w:rsidRPr="00EC2ED0" w:rsidRDefault="007C1CAB" w:rsidP="00086025">
            <w:pPr>
              <w:pStyle w:val="Subtitle"/>
              <w:rPr>
                <w:color w:val="000000" w:themeColor="text1"/>
                <w:w w:val="98"/>
              </w:rPr>
            </w:pPr>
          </w:p>
        </w:tc>
        <w:tc>
          <w:tcPr>
            <w:tcW w:w="406" w:type="pct"/>
            <w:tcBorders>
              <w:top w:val="nil"/>
              <w:left w:val="nil"/>
              <w:bottom w:val="single" w:sz="6" w:space="0" w:color="auto"/>
              <w:right w:val="nil"/>
            </w:tcBorders>
            <w:vAlign w:val="center"/>
          </w:tcPr>
          <w:p w14:paraId="3B2FB39B" w14:textId="0C38CA79" w:rsidR="007C1CAB" w:rsidRPr="00EC2ED0" w:rsidRDefault="007C1CAB" w:rsidP="00765913">
            <w:pPr>
              <w:pStyle w:val="Subtitle"/>
              <w:rPr>
                <w:color w:val="000000" w:themeColor="text1"/>
                <w:w w:val="98"/>
              </w:rPr>
            </w:pPr>
            <w:r w:rsidRPr="00EC2ED0">
              <w:rPr>
                <w:color w:val="000000" w:themeColor="text1"/>
              </w:rPr>
              <w:t>DOC5</w:t>
            </w:r>
          </w:p>
        </w:tc>
        <w:tc>
          <w:tcPr>
            <w:tcW w:w="1249" w:type="pct"/>
            <w:tcBorders>
              <w:top w:val="nil"/>
              <w:left w:val="nil"/>
              <w:bottom w:val="single" w:sz="6" w:space="0" w:color="auto"/>
              <w:right w:val="nil"/>
            </w:tcBorders>
            <w:vAlign w:val="center"/>
          </w:tcPr>
          <w:p w14:paraId="300A1E12" w14:textId="79BC4D15" w:rsidR="007C1CAB" w:rsidRPr="00EC2ED0" w:rsidRDefault="007C1CAB" w:rsidP="00765913">
            <w:pPr>
              <w:pStyle w:val="Subtitle"/>
              <w:rPr>
                <w:color w:val="000000" w:themeColor="text1"/>
                <w:w w:val="98"/>
              </w:rPr>
            </w:pPr>
            <w:r w:rsidRPr="00EC2ED0">
              <w:rPr>
                <w:color w:val="000000" w:themeColor="text1"/>
              </w:rPr>
              <w:t>Clarity and ease of understanding of documents</w:t>
            </w:r>
          </w:p>
        </w:tc>
        <w:tc>
          <w:tcPr>
            <w:tcW w:w="865" w:type="pct"/>
            <w:tcBorders>
              <w:top w:val="nil"/>
              <w:left w:val="nil"/>
              <w:bottom w:val="single" w:sz="6" w:space="0" w:color="auto"/>
              <w:right w:val="nil"/>
            </w:tcBorders>
            <w:vAlign w:val="center"/>
          </w:tcPr>
          <w:p w14:paraId="0F306D70" w14:textId="47E6299F" w:rsidR="007C1CAB" w:rsidRPr="00EC2ED0" w:rsidRDefault="007C1CAB" w:rsidP="00722C24">
            <w:pPr>
              <w:pStyle w:val="Subtitle"/>
              <w:jc w:val="center"/>
              <w:rPr>
                <w:color w:val="000000" w:themeColor="text1"/>
                <w:w w:val="98"/>
              </w:rPr>
            </w:pPr>
            <w:r w:rsidRPr="00EC2ED0">
              <w:rPr>
                <w:color w:val="000000" w:themeColor="text1"/>
              </w:rPr>
              <w:t>0.825</w:t>
            </w:r>
          </w:p>
        </w:tc>
        <w:tc>
          <w:tcPr>
            <w:tcW w:w="880" w:type="pct"/>
            <w:tcBorders>
              <w:top w:val="nil"/>
              <w:left w:val="nil"/>
              <w:bottom w:val="single" w:sz="6" w:space="0" w:color="auto"/>
              <w:right w:val="nil"/>
            </w:tcBorders>
            <w:vAlign w:val="center"/>
          </w:tcPr>
          <w:p w14:paraId="4FE30D72" w14:textId="63D79080" w:rsidR="007C1CAB" w:rsidRPr="00EC2ED0" w:rsidRDefault="007C1CAB" w:rsidP="00722C24">
            <w:pPr>
              <w:pStyle w:val="Subtitle"/>
              <w:jc w:val="center"/>
              <w:rPr>
                <w:color w:val="000000" w:themeColor="text1"/>
                <w:w w:val="98"/>
              </w:rPr>
            </w:pPr>
            <w:r w:rsidRPr="00EC2ED0">
              <w:rPr>
                <w:color w:val="000000" w:themeColor="text1"/>
              </w:rPr>
              <w:t>0.924</w:t>
            </w:r>
          </w:p>
        </w:tc>
        <w:tc>
          <w:tcPr>
            <w:tcW w:w="687" w:type="pct"/>
            <w:tcBorders>
              <w:top w:val="nil"/>
              <w:left w:val="nil"/>
              <w:bottom w:val="single" w:sz="6" w:space="0" w:color="auto"/>
            </w:tcBorders>
            <w:vAlign w:val="center"/>
          </w:tcPr>
          <w:p w14:paraId="73C1921C" w14:textId="3484C4DA" w:rsidR="007C1CAB" w:rsidRPr="00EC2ED0" w:rsidRDefault="007C1CAB" w:rsidP="00C9116A">
            <w:pPr>
              <w:pStyle w:val="Subtitle"/>
              <w:jc w:val="center"/>
              <w:rPr>
                <w:color w:val="000000" w:themeColor="text1"/>
                <w:w w:val="98"/>
              </w:rPr>
            </w:pPr>
            <w:r w:rsidRPr="00EC2ED0">
              <w:rPr>
                <w:color w:val="000000" w:themeColor="text1"/>
              </w:rPr>
              <w:t>Lun et al. (2016)</w:t>
            </w:r>
          </w:p>
        </w:tc>
      </w:tr>
      <w:tr w:rsidR="00EC2ED0" w:rsidRPr="00EC2ED0" w14:paraId="0E496490" w14:textId="77777777" w:rsidTr="00FA25F9">
        <w:tc>
          <w:tcPr>
            <w:tcW w:w="913" w:type="pct"/>
            <w:vMerge w:val="restart"/>
            <w:tcBorders>
              <w:top w:val="single" w:sz="6" w:space="0" w:color="auto"/>
              <w:right w:val="nil"/>
            </w:tcBorders>
            <w:vAlign w:val="center"/>
          </w:tcPr>
          <w:p w14:paraId="12F333E5" w14:textId="77777777" w:rsidR="007C1CAB" w:rsidRPr="00EC2ED0" w:rsidRDefault="007C1CAB" w:rsidP="00086025">
            <w:pPr>
              <w:pStyle w:val="Subtitle"/>
              <w:rPr>
                <w:rStyle w:val="Strong"/>
                <w:b w:val="0"/>
                <w:bCs w:val="0"/>
                <w:color w:val="000000" w:themeColor="text1"/>
              </w:rPr>
            </w:pPr>
            <w:r w:rsidRPr="00EC2ED0">
              <w:rPr>
                <w:rStyle w:val="Strong"/>
                <w:b w:val="0"/>
                <w:bCs w:val="0"/>
                <w:color w:val="000000" w:themeColor="text1"/>
              </w:rPr>
              <w:t>Customer satisfaction (SAT)</w:t>
            </w:r>
          </w:p>
          <w:p w14:paraId="35C5D50E" w14:textId="204550D4" w:rsidR="00513E84" w:rsidRPr="00EC2ED0" w:rsidRDefault="00513E84" w:rsidP="00086025">
            <w:pPr>
              <w:pStyle w:val="Subtitle"/>
              <w:rPr>
                <w:color w:val="000000" w:themeColor="text1"/>
              </w:rPr>
            </w:pPr>
            <w:r w:rsidRPr="00EC2ED0">
              <w:rPr>
                <w:color w:val="000000" w:themeColor="text1"/>
              </w:rPr>
              <w:t>(α = 0.972)</w:t>
            </w:r>
          </w:p>
        </w:tc>
        <w:tc>
          <w:tcPr>
            <w:tcW w:w="406" w:type="pct"/>
            <w:tcBorders>
              <w:top w:val="single" w:sz="6" w:space="0" w:color="auto"/>
              <w:left w:val="nil"/>
              <w:bottom w:val="nil"/>
              <w:right w:val="nil"/>
            </w:tcBorders>
            <w:vAlign w:val="center"/>
          </w:tcPr>
          <w:p w14:paraId="018B5966" w14:textId="35F76618" w:rsidR="007C1CAB" w:rsidRPr="00EC2ED0" w:rsidRDefault="007C1CAB" w:rsidP="00765913">
            <w:pPr>
              <w:pStyle w:val="Subtitle"/>
              <w:rPr>
                <w:color w:val="000000" w:themeColor="text1"/>
                <w:w w:val="98"/>
              </w:rPr>
            </w:pPr>
            <w:r w:rsidRPr="00EC2ED0">
              <w:rPr>
                <w:color w:val="000000" w:themeColor="text1"/>
              </w:rPr>
              <w:t>SAT1</w:t>
            </w:r>
          </w:p>
        </w:tc>
        <w:tc>
          <w:tcPr>
            <w:tcW w:w="1249" w:type="pct"/>
            <w:tcBorders>
              <w:top w:val="single" w:sz="6" w:space="0" w:color="auto"/>
              <w:left w:val="nil"/>
              <w:bottom w:val="nil"/>
              <w:right w:val="nil"/>
            </w:tcBorders>
            <w:vAlign w:val="center"/>
          </w:tcPr>
          <w:p w14:paraId="59F15354" w14:textId="6F147431" w:rsidR="007C1CAB" w:rsidRPr="00EC2ED0" w:rsidRDefault="007C1CAB" w:rsidP="00765913">
            <w:pPr>
              <w:pStyle w:val="Subtitle"/>
              <w:rPr>
                <w:color w:val="000000" w:themeColor="text1"/>
                <w:w w:val="98"/>
              </w:rPr>
            </w:pPr>
            <w:r w:rsidRPr="00EC2ED0">
              <w:rPr>
                <w:color w:val="000000" w:themeColor="text1"/>
              </w:rPr>
              <w:t>Overall satisfaction with service quality</w:t>
            </w:r>
          </w:p>
        </w:tc>
        <w:tc>
          <w:tcPr>
            <w:tcW w:w="865" w:type="pct"/>
            <w:tcBorders>
              <w:top w:val="single" w:sz="6" w:space="0" w:color="auto"/>
              <w:left w:val="nil"/>
              <w:bottom w:val="nil"/>
              <w:right w:val="nil"/>
            </w:tcBorders>
            <w:vAlign w:val="center"/>
          </w:tcPr>
          <w:p w14:paraId="1A169CFA" w14:textId="7EBA74F5" w:rsidR="007C1CAB" w:rsidRPr="00EC2ED0" w:rsidRDefault="007C1CAB" w:rsidP="00722C24">
            <w:pPr>
              <w:pStyle w:val="Subtitle"/>
              <w:jc w:val="center"/>
              <w:rPr>
                <w:color w:val="000000" w:themeColor="text1"/>
                <w:w w:val="98"/>
              </w:rPr>
            </w:pPr>
            <w:r w:rsidRPr="00EC2ED0">
              <w:rPr>
                <w:color w:val="000000" w:themeColor="text1"/>
              </w:rPr>
              <w:t>0.911</w:t>
            </w:r>
          </w:p>
        </w:tc>
        <w:tc>
          <w:tcPr>
            <w:tcW w:w="880" w:type="pct"/>
            <w:tcBorders>
              <w:top w:val="single" w:sz="6" w:space="0" w:color="auto"/>
              <w:left w:val="nil"/>
              <w:bottom w:val="nil"/>
              <w:right w:val="nil"/>
            </w:tcBorders>
            <w:vAlign w:val="center"/>
          </w:tcPr>
          <w:p w14:paraId="7090F17E" w14:textId="5225D044" w:rsidR="007C1CAB" w:rsidRPr="00EC2ED0" w:rsidRDefault="007C1CAB" w:rsidP="00722C24">
            <w:pPr>
              <w:pStyle w:val="Subtitle"/>
              <w:jc w:val="center"/>
              <w:rPr>
                <w:color w:val="000000" w:themeColor="text1"/>
                <w:w w:val="98"/>
              </w:rPr>
            </w:pPr>
            <w:r w:rsidRPr="00EC2ED0">
              <w:rPr>
                <w:color w:val="000000" w:themeColor="text1"/>
              </w:rPr>
              <w:t>0.966</w:t>
            </w:r>
          </w:p>
        </w:tc>
        <w:tc>
          <w:tcPr>
            <w:tcW w:w="687" w:type="pct"/>
            <w:tcBorders>
              <w:top w:val="single" w:sz="6" w:space="0" w:color="auto"/>
              <w:left w:val="nil"/>
              <w:bottom w:val="nil"/>
            </w:tcBorders>
            <w:vAlign w:val="center"/>
          </w:tcPr>
          <w:p w14:paraId="624F10EE" w14:textId="79C94651" w:rsidR="007C1CAB" w:rsidRPr="00EC2ED0" w:rsidRDefault="007C1CAB" w:rsidP="00C9116A">
            <w:pPr>
              <w:pStyle w:val="Subtitle"/>
              <w:jc w:val="center"/>
              <w:rPr>
                <w:color w:val="000000" w:themeColor="text1"/>
                <w:w w:val="98"/>
              </w:rPr>
            </w:pPr>
            <w:r w:rsidRPr="00EC2ED0">
              <w:rPr>
                <w:color w:val="000000" w:themeColor="text1"/>
              </w:rPr>
              <w:t>Yuen &amp; Thai (2015)</w:t>
            </w:r>
          </w:p>
        </w:tc>
      </w:tr>
      <w:tr w:rsidR="00EC2ED0" w:rsidRPr="00EC2ED0" w14:paraId="11CD8AFB" w14:textId="77777777" w:rsidTr="00FA25F9">
        <w:tc>
          <w:tcPr>
            <w:tcW w:w="913" w:type="pct"/>
            <w:vMerge/>
            <w:tcBorders>
              <w:right w:val="nil"/>
            </w:tcBorders>
            <w:vAlign w:val="center"/>
          </w:tcPr>
          <w:p w14:paraId="30A3A395" w14:textId="77777777" w:rsidR="007C1CAB" w:rsidRPr="00EC2ED0" w:rsidRDefault="007C1CAB" w:rsidP="00765913">
            <w:pPr>
              <w:pStyle w:val="Subtitle"/>
              <w:rPr>
                <w:color w:val="000000" w:themeColor="text1"/>
                <w:w w:val="98"/>
              </w:rPr>
            </w:pPr>
          </w:p>
        </w:tc>
        <w:tc>
          <w:tcPr>
            <w:tcW w:w="406" w:type="pct"/>
            <w:tcBorders>
              <w:top w:val="nil"/>
              <w:left w:val="nil"/>
              <w:bottom w:val="nil"/>
              <w:right w:val="nil"/>
            </w:tcBorders>
            <w:vAlign w:val="center"/>
          </w:tcPr>
          <w:p w14:paraId="10C7589C" w14:textId="399B97EC" w:rsidR="007C1CAB" w:rsidRPr="00EC2ED0" w:rsidRDefault="007C1CAB" w:rsidP="00765913">
            <w:pPr>
              <w:pStyle w:val="Subtitle"/>
              <w:rPr>
                <w:color w:val="000000" w:themeColor="text1"/>
                <w:w w:val="98"/>
              </w:rPr>
            </w:pPr>
            <w:r w:rsidRPr="00EC2ED0">
              <w:rPr>
                <w:color w:val="000000" w:themeColor="text1"/>
              </w:rPr>
              <w:t>SAT2</w:t>
            </w:r>
          </w:p>
        </w:tc>
        <w:tc>
          <w:tcPr>
            <w:tcW w:w="1249" w:type="pct"/>
            <w:tcBorders>
              <w:top w:val="nil"/>
              <w:left w:val="nil"/>
              <w:bottom w:val="nil"/>
              <w:right w:val="nil"/>
            </w:tcBorders>
            <w:vAlign w:val="center"/>
          </w:tcPr>
          <w:p w14:paraId="4A9F051B" w14:textId="21201460" w:rsidR="007C1CAB" w:rsidRPr="00EC2ED0" w:rsidRDefault="007C1CAB" w:rsidP="00765913">
            <w:pPr>
              <w:pStyle w:val="Subtitle"/>
              <w:rPr>
                <w:color w:val="000000" w:themeColor="text1"/>
                <w:w w:val="98"/>
              </w:rPr>
            </w:pPr>
            <w:r w:rsidRPr="00EC2ED0">
              <w:rPr>
                <w:color w:val="000000" w:themeColor="text1"/>
              </w:rPr>
              <w:t>Service meets business requirements</w:t>
            </w:r>
          </w:p>
        </w:tc>
        <w:tc>
          <w:tcPr>
            <w:tcW w:w="865" w:type="pct"/>
            <w:tcBorders>
              <w:top w:val="nil"/>
              <w:left w:val="nil"/>
              <w:bottom w:val="nil"/>
              <w:right w:val="nil"/>
            </w:tcBorders>
            <w:vAlign w:val="center"/>
          </w:tcPr>
          <w:p w14:paraId="5193ABA2" w14:textId="66BA5FF8" w:rsidR="007C1CAB" w:rsidRPr="00EC2ED0" w:rsidRDefault="007C1CAB" w:rsidP="00722C24">
            <w:pPr>
              <w:pStyle w:val="Subtitle"/>
              <w:jc w:val="center"/>
              <w:rPr>
                <w:color w:val="000000" w:themeColor="text1"/>
                <w:w w:val="98"/>
              </w:rPr>
            </w:pPr>
            <w:r w:rsidRPr="00EC2ED0">
              <w:rPr>
                <w:color w:val="000000" w:themeColor="text1"/>
              </w:rPr>
              <w:t>0.895</w:t>
            </w:r>
          </w:p>
        </w:tc>
        <w:tc>
          <w:tcPr>
            <w:tcW w:w="880" w:type="pct"/>
            <w:tcBorders>
              <w:top w:val="nil"/>
              <w:left w:val="nil"/>
              <w:bottom w:val="nil"/>
              <w:right w:val="nil"/>
            </w:tcBorders>
            <w:vAlign w:val="center"/>
          </w:tcPr>
          <w:p w14:paraId="292C42FD" w14:textId="170096AC" w:rsidR="007C1CAB" w:rsidRPr="00EC2ED0" w:rsidRDefault="007C1CAB" w:rsidP="00722C24">
            <w:pPr>
              <w:pStyle w:val="Subtitle"/>
              <w:jc w:val="center"/>
              <w:rPr>
                <w:color w:val="000000" w:themeColor="text1"/>
                <w:w w:val="98"/>
              </w:rPr>
            </w:pPr>
            <w:r w:rsidRPr="00EC2ED0">
              <w:rPr>
                <w:color w:val="000000" w:themeColor="text1"/>
              </w:rPr>
              <w:t>0.969</w:t>
            </w:r>
          </w:p>
        </w:tc>
        <w:tc>
          <w:tcPr>
            <w:tcW w:w="687" w:type="pct"/>
            <w:tcBorders>
              <w:top w:val="nil"/>
              <w:left w:val="nil"/>
              <w:bottom w:val="nil"/>
            </w:tcBorders>
            <w:vAlign w:val="center"/>
          </w:tcPr>
          <w:p w14:paraId="42C16F09" w14:textId="15F0CE91" w:rsidR="007C1CAB" w:rsidRPr="00EC2ED0" w:rsidRDefault="007C1CAB" w:rsidP="00C9116A">
            <w:pPr>
              <w:pStyle w:val="Subtitle"/>
              <w:jc w:val="center"/>
              <w:rPr>
                <w:color w:val="000000" w:themeColor="text1"/>
                <w:w w:val="98"/>
              </w:rPr>
            </w:pPr>
            <w:r w:rsidRPr="00EC2ED0">
              <w:rPr>
                <w:color w:val="000000" w:themeColor="text1"/>
              </w:rPr>
              <w:t>Purwoko (2022)</w:t>
            </w:r>
          </w:p>
        </w:tc>
      </w:tr>
      <w:tr w:rsidR="00EC2ED0" w:rsidRPr="00EC2ED0" w14:paraId="2B0F5EA8" w14:textId="77777777" w:rsidTr="00FA25F9">
        <w:tc>
          <w:tcPr>
            <w:tcW w:w="913" w:type="pct"/>
            <w:vMerge/>
            <w:tcBorders>
              <w:right w:val="nil"/>
            </w:tcBorders>
            <w:vAlign w:val="center"/>
          </w:tcPr>
          <w:p w14:paraId="15598971" w14:textId="77777777" w:rsidR="007C1CAB" w:rsidRPr="00EC2ED0" w:rsidRDefault="007C1CAB" w:rsidP="00765913">
            <w:pPr>
              <w:pStyle w:val="Subtitle"/>
              <w:rPr>
                <w:color w:val="000000" w:themeColor="text1"/>
                <w:w w:val="98"/>
              </w:rPr>
            </w:pPr>
          </w:p>
        </w:tc>
        <w:tc>
          <w:tcPr>
            <w:tcW w:w="406" w:type="pct"/>
            <w:tcBorders>
              <w:top w:val="nil"/>
              <w:left w:val="nil"/>
              <w:bottom w:val="nil"/>
              <w:right w:val="nil"/>
            </w:tcBorders>
            <w:vAlign w:val="center"/>
          </w:tcPr>
          <w:p w14:paraId="26FA67C1" w14:textId="523160D9" w:rsidR="007C1CAB" w:rsidRPr="00EC2ED0" w:rsidRDefault="007C1CAB" w:rsidP="00765913">
            <w:pPr>
              <w:pStyle w:val="Subtitle"/>
              <w:rPr>
                <w:color w:val="000000" w:themeColor="text1"/>
                <w:w w:val="98"/>
              </w:rPr>
            </w:pPr>
            <w:r w:rsidRPr="00EC2ED0">
              <w:rPr>
                <w:color w:val="000000" w:themeColor="text1"/>
              </w:rPr>
              <w:t>SAT3</w:t>
            </w:r>
          </w:p>
        </w:tc>
        <w:tc>
          <w:tcPr>
            <w:tcW w:w="1249" w:type="pct"/>
            <w:tcBorders>
              <w:top w:val="nil"/>
              <w:left w:val="nil"/>
              <w:bottom w:val="nil"/>
              <w:right w:val="nil"/>
            </w:tcBorders>
            <w:vAlign w:val="center"/>
          </w:tcPr>
          <w:p w14:paraId="6F6B1753" w14:textId="21EC5F40" w:rsidR="007C1CAB" w:rsidRPr="00EC2ED0" w:rsidRDefault="000464C3" w:rsidP="00765913">
            <w:pPr>
              <w:pStyle w:val="Subtitle"/>
              <w:rPr>
                <w:color w:val="000000" w:themeColor="text1"/>
                <w:w w:val="98"/>
              </w:rPr>
            </w:pPr>
            <w:r w:rsidRPr="00EC2ED0">
              <w:rPr>
                <w:color w:val="000000" w:themeColor="text1"/>
              </w:rPr>
              <w:t>The overall FCL import service experience met our expectations</w:t>
            </w:r>
          </w:p>
        </w:tc>
        <w:tc>
          <w:tcPr>
            <w:tcW w:w="865" w:type="pct"/>
            <w:tcBorders>
              <w:top w:val="nil"/>
              <w:left w:val="nil"/>
              <w:bottom w:val="nil"/>
              <w:right w:val="nil"/>
            </w:tcBorders>
            <w:vAlign w:val="center"/>
          </w:tcPr>
          <w:p w14:paraId="7A6ABE8A" w14:textId="5545469E" w:rsidR="007C1CAB" w:rsidRPr="00EC2ED0" w:rsidRDefault="007C1CAB" w:rsidP="00722C24">
            <w:pPr>
              <w:pStyle w:val="Subtitle"/>
              <w:jc w:val="center"/>
              <w:rPr>
                <w:color w:val="000000" w:themeColor="text1"/>
                <w:w w:val="98"/>
              </w:rPr>
            </w:pPr>
            <w:r w:rsidRPr="00EC2ED0">
              <w:rPr>
                <w:color w:val="000000" w:themeColor="text1"/>
              </w:rPr>
              <w:t>0.938</w:t>
            </w:r>
          </w:p>
        </w:tc>
        <w:tc>
          <w:tcPr>
            <w:tcW w:w="880" w:type="pct"/>
            <w:tcBorders>
              <w:top w:val="nil"/>
              <w:left w:val="nil"/>
              <w:bottom w:val="nil"/>
              <w:right w:val="nil"/>
            </w:tcBorders>
            <w:vAlign w:val="center"/>
          </w:tcPr>
          <w:p w14:paraId="6C1CA9D8" w14:textId="5DB30605" w:rsidR="007C1CAB" w:rsidRPr="00EC2ED0" w:rsidRDefault="007C1CAB" w:rsidP="00722C24">
            <w:pPr>
              <w:pStyle w:val="Subtitle"/>
              <w:jc w:val="center"/>
              <w:rPr>
                <w:color w:val="000000" w:themeColor="text1"/>
                <w:w w:val="98"/>
              </w:rPr>
            </w:pPr>
            <w:r w:rsidRPr="00EC2ED0">
              <w:rPr>
                <w:color w:val="000000" w:themeColor="text1"/>
              </w:rPr>
              <w:t>0.962</w:t>
            </w:r>
          </w:p>
        </w:tc>
        <w:tc>
          <w:tcPr>
            <w:tcW w:w="687" w:type="pct"/>
            <w:tcBorders>
              <w:top w:val="nil"/>
              <w:left w:val="nil"/>
              <w:bottom w:val="nil"/>
            </w:tcBorders>
            <w:vAlign w:val="center"/>
          </w:tcPr>
          <w:p w14:paraId="552C99A6" w14:textId="2D84CA47" w:rsidR="007C1CAB" w:rsidRPr="00EC2ED0" w:rsidRDefault="007C1CAB" w:rsidP="00C9116A">
            <w:pPr>
              <w:pStyle w:val="Subtitle"/>
              <w:jc w:val="center"/>
              <w:rPr>
                <w:color w:val="000000" w:themeColor="text1"/>
                <w:w w:val="98"/>
              </w:rPr>
            </w:pPr>
            <w:r w:rsidRPr="00EC2ED0">
              <w:rPr>
                <w:color w:val="000000" w:themeColor="text1"/>
              </w:rPr>
              <w:t>Huang et al. (2019)</w:t>
            </w:r>
          </w:p>
        </w:tc>
      </w:tr>
      <w:tr w:rsidR="00EC2ED0" w:rsidRPr="00EC2ED0" w14:paraId="1F6D92EC" w14:textId="77777777" w:rsidTr="00FA25F9">
        <w:tc>
          <w:tcPr>
            <w:tcW w:w="913" w:type="pct"/>
            <w:vMerge/>
            <w:tcBorders>
              <w:right w:val="nil"/>
            </w:tcBorders>
            <w:vAlign w:val="center"/>
          </w:tcPr>
          <w:p w14:paraId="07AF1559" w14:textId="77777777" w:rsidR="007C1CAB" w:rsidRPr="00EC2ED0" w:rsidRDefault="007C1CAB" w:rsidP="00765913">
            <w:pPr>
              <w:pStyle w:val="Subtitle"/>
              <w:rPr>
                <w:color w:val="000000" w:themeColor="text1"/>
                <w:w w:val="98"/>
              </w:rPr>
            </w:pPr>
          </w:p>
        </w:tc>
        <w:tc>
          <w:tcPr>
            <w:tcW w:w="406" w:type="pct"/>
            <w:tcBorders>
              <w:top w:val="nil"/>
              <w:left w:val="nil"/>
              <w:bottom w:val="nil"/>
              <w:right w:val="nil"/>
            </w:tcBorders>
            <w:vAlign w:val="center"/>
          </w:tcPr>
          <w:p w14:paraId="62D2A14A" w14:textId="5A50DB36" w:rsidR="007C1CAB" w:rsidRPr="00EC2ED0" w:rsidRDefault="007C1CAB" w:rsidP="00765913">
            <w:pPr>
              <w:pStyle w:val="Subtitle"/>
              <w:rPr>
                <w:color w:val="000000" w:themeColor="text1"/>
                <w:w w:val="98"/>
              </w:rPr>
            </w:pPr>
            <w:r w:rsidRPr="00EC2ED0">
              <w:rPr>
                <w:color w:val="000000" w:themeColor="text1"/>
              </w:rPr>
              <w:t>SAT4</w:t>
            </w:r>
          </w:p>
        </w:tc>
        <w:tc>
          <w:tcPr>
            <w:tcW w:w="1249" w:type="pct"/>
            <w:tcBorders>
              <w:top w:val="nil"/>
              <w:left w:val="nil"/>
              <w:bottom w:val="nil"/>
              <w:right w:val="nil"/>
            </w:tcBorders>
            <w:vAlign w:val="center"/>
          </w:tcPr>
          <w:p w14:paraId="4582894C" w14:textId="6AF68327" w:rsidR="007C1CAB" w:rsidRPr="00EC2ED0" w:rsidRDefault="007C1CAB" w:rsidP="00765913">
            <w:pPr>
              <w:pStyle w:val="Subtitle"/>
              <w:rPr>
                <w:color w:val="000000" w:themeColor="text1"/>
                <w:w w:val="98"/>
              </w:rPr>
            </w:pPr>
            <w:r w:rsidRPr="00EC2ED0">
              <w:rPr>
                <w:color w:val="000000" w:themeColor="text1"/>
              </w:rPr>
              <w:t>Trust in service provider capability</w:t>
            </w:r>
          </w:p>
        </w:tc>
        <w:tc>
          <w:tcPr>
            <w:tcW w:w="865" w:type="pct"/>
            <w:tcBorders>
              <w:top w:val="nil"/>
              <w:left w:val="nil"/>
              <w:bottom w:val="nil"/>
              <w:right w:val="nil"/>
            </w:tcBorders>
            <w:vAlign w:val="center"/>
          </w:tcPr>
          <w:p w14:paraId="3BD9F44A" w14:textId="0E125586" w:rsidR="007C1CAB" w:rsidRPr="00EC2ED0" w:rsidRDefault="007C1CAB" w:rsidP="00722C24">
            <w:pPr>
              <w:pStyle w:val="Subtitle"/>
              <w:jc w:val="center"/>
              <w:rPr>
                <w:color w:val="000000" w:themeColor="text1"/>
                <w:w w:val="98"/>
              </w:rPr>
            </w:pPr>
            <w:r w:rsidRPr="00EC2ED0">
              <w:rPr>
                <w:color w:val="000000" w:themeColor="text1"/>
              </w:rPr>
              <w:t>0.929</w:t>
            </w:r>
          </w:p>
        </w:tc>
        <w:tc>
          <w:tcPr>
            <w:tcW w:w="880" w:type="pct"/>
            <w:tcBorders>
              <w:top w:val="nil"/>
              <w:left w:val="nil"/>
              <w:bottom w:val="nil"/>
              <w:right w:val="nil"/>
            </w:tcBorders>
            <w:vAlign w:val="center"/>
          </w:tcPr>
          <w:p w14:paraId="337D7FE5" w14:textId="7067ADF3" w:rsidR="007C1CAB" w:rsidRPr="00EC2ED0" w:rsidRDefault="007C1CAB" w:rsidP="00722C24">
            <w:pPr>
              <w:pStyle w:val="Subtitle"/>
              <w:jc w:val="center"/>
              <w:rPr>
                <w:color w:val="000000" w:themeColor="text1"/>
                <w:w w:val="98"/>
              </w:rPr>
            </w:pPr>
            <w:r w:rsidRPr="00EC2ED0">
              <w:rPr>
                <w:color w:val="000000" w:themeColor="text1"/>
              </w:rPr>
              <w:t>0.963</w:t>
            </w:r>
          </w:p>
        </w:tc>
        <w:tc>
          <w:tcPr>
            <w:tcW w:w="687" w:type="pct"/>
            <w:tcBorders>
              <w:top w:val="nil"/>
              <w:left w:val="nil"/>
              <w:bottom w:val="nil"/>
            </w:tcBorders>
            <w:vAlign w:val="center"/>
          </w:tcPr>
          <w:p w14:paraId="4CCAE986" w14:textId="2D8D5E6F" w:rsidR="007C1CAB" w:rsidRPr="00EC2ED0" w:rsidRDefault="007C1CAB" w:rsidP="00C9116A">
            <w:pPr>
              <w:pStyle w:val="Subtitle"/>
              <w:jc w:val="center"/>
              <w:rPr>
                <w:color w:val="000000" w:themeColor="text1"/>
                <w:w w:val="98"/>
              </w:rPr>
            </w:pPr>
            <w:r w:rsidRPr="00EC2ED0">
              <w:rPr>
                <w:color w:val="000000" w:themeColor="text1"/>
              </w:rPr>
              <w:t>Thai (2013)</w:t>
            </w:r>
          </w:p>
        </w:tc>
      </w:tr>
      <w:tr w:rsidR="000D240E" w:rsidRPr="00EC2ED0" w14:paraId="47C294B0" w14:textId="77777777" w:rsidTr="00FA25F9">
        <w:tc>
          <w:tcPr>
            <w:tcW w:w="913" w:type="pct"/>
            <w:vMerge/>
            <w:tcBorders>
              <w:bottom w:val="single" w:sz="12" w:space="0" w:color="auto"/>
              <w:right w:val="nil"/>
            </w:tcBorders>
            <w:vAlign w:val="center"/>
          </w:tcPr>
          <w:p w14:paraId="49AA2806" w14:textId="77777777" w:rsidR="007C1CAB" w:rsidRPr="00EC2ED0" w:rsidRDefault="007C1CAB" w:rsidP="00765913">
            <w:pPr>
              <w:pStyle w:val="Subtitle"/>
              <w:rPr>
                <w:color w:val="000000" w:themeColor="text1"/>
                <w:w w:val="98"/>
              </w:rPr>
            </w:pPr>
          </w:p>
        </w:tc>
        <w:tc>
          <w:tcPr>
            <w:tcW w:w="406" w:type="pct"/>
            <w:tcBorders>
              <w:top w:val="nil"/>
              <w:left w:val="nil"/>
              <w:bottom w:val="single" w:sz="12" w:space="0" w:color="auto"/>
              <w:right w:val="nil"/>
            </w:tcBorders>
            <w:vAlign w:val="center"/>
          </w:tcPr>
          <w:p w14:paraId="1FCE422D" w14:textId="236C961A" w:rsidR="007C1CAB" w:rsidRPr="00EC2ED0" w:rsidRDefault="007C1CAB" w:rsidP="00765913">
            <w:pPr>
              <w:pStyle w:val="Subtitle"/>
              <w:rPr>
                <w:color w:val="000000" w:themeColor="text1"/>
                <w:w w:val="98"/>
              </w:rPr>
            </w:pPr>
            <w:r w:rsidRPr="00EC2ED0">
              <w:rPr>
                <w:color w:val="000000" w:themeColor="text1"/>
              </w:rPr>
              <w:t>SAT5</w:t>
            </w:r>
          </w:p>
        </w:tc>
        <w:tc>
          <w:tcPr>
            <w:tcW w:w="1249" w:type="pct"/>
            <w:tcBorders>
              <w:top w:val="nil"/>
              <w:left w:val="nil"/>
              <w:bottom w:val="single" w:sz="12" w:space="0" w:color="auto"/>
              <w:right w:val="nil"/>
            </w:tcBorders>
            <w:vAlign w:val="center"/>
          </w:tcPr>
          <w:p w14:paraId="46CD8393" w14:textId="5FBCC375" w:rsidR="007C1CAB" w:rsidRPr="00EC2ED0" w:rsidRDefault="00C51807" w:rsidP="00765913">
            <w:pPr>
              <w:pStyle w:val="Subtitle"/>
              <w:rPr>
                <w:color w:val="000000" w:themeColor="text1"/>
                <w:w w:val="98"/>
              </w:rPr>
            </w:pPr>
            <w:r w:rsidRPr="00EC2ED0">
              <w:rPr>
                <w:color w:val="000000" w:themeColor="text1"/>
              </w:rPr>
              <w:t>The service performance was satisfactory from a professional standpoint.</w:t>
            </w:r>
          </w:p>
        </w:tc>
        <w:tc>
          <w:tcPr>
            <w:tcW w:w="865" w:type="pct"/>
            <w:tcBorders>
              <w:top w:val="nil"/>
              <w:left w:val="nil"/>
              <w:bottom w:val="single" w:sz="12" w:space="0" w:color="auto"/>
              <w:right w:val="nil"/>
            </w:tcBorders>
            <w:vAlign w:val="center"/>
          </w:tcPr>
          <w:p w14:paraId="553D8654" w14:textId="4EE64974" w:rsidR="007C1CAB" w:rsidRPr="00EC2ED0" w:rsidRDefault="007C1CAB" w:rsidP="00722C24">
            <w:pPr>
              <w:pStyle w:val="Subtitle"/>
              <w:jc w:val="center"/>
              <w:rPr>
                <w:color w:val="000000" w:themeColor="text1"/>
                <w:w w:val="98"/>
              </w:rPr>
            </w:pPr>
            <w:r w:rsidRPr="00EC2ED0">
              <w:rPr>
                <w:color w:val="000000" w:themeColor="text1"/>
              </w:rPr>
              <w:t>0.923</w:t>
            </w:r>
          </w:p>
        </w:tc>
        <w:tc>
          <w:tcPr>
            <w:tcW w:w="880" w:type="pct"/>
            <w:tcBorders>
              <w:top w:val="nil"/>
              <w:left w:val="nil"/>
              <w:bottom w:val="single" w:sz="12" w:space="0" w:color="auto"/>
              <w:right w:val="nil"/>
            </w:tcBorders>
            <w:vAlign w:val="center"/>
          </w:tcPr>
          <w:p w14:paraId="34571BE2" w14:textId="739CC5C6" w:rsidR="007C1CAB" w:rsidRPr="00EC2ED0" w:rsidRDefault="007C1CAB" w:rsidP="00722C24">
            <w:pPr>
              <w:pStyle w:val="Subtitle"/>
              <w:jc w:val="center"/>
              <w:rPr>
                <w:color w:val="000000" w:themeColor="text1"/>
                <w:w w:val="98"/>
              </w:rPr>
            </w:pPr>
            <w:r w:rsidRPr="00EC2ED0">
              <w:rPr>
                <w:color w:val="000000" w:themeColor="text1"/>
              </w:rPr>
              <w:t>0.965</w:t>
            </w:r>
          </w:p>
        </w:tc>
        <w:tc>
          <w:tcPr>
            <w:tcW w:w="687" w:type="pct"/>
            <w:tcBorders>
              <w:top w:val="nil"/>
              <w:left w:val="nil"/>
              <w:bottom w:val="single" w:sz="12" w:space="0" w:color="auto"/>
            </w:tcBorders>
            <w:vAlign w:val="center"/>
          </w:tcPr>
          <w:p w14:paraId="7575EAEE" w14:textId="4A40DA1A" w:rsidR="007C1CAB" w:rsidRPr="00EC2ED0" w:rsidRDefault="007C1CAB" w:rsidP="00C9116A">
            <w:pPr>
              <w:pStyle w:val="Subtitle"/>
              <w:jc w:val="center"/>
              <w:rPr>
                <w:color w:val="000000" w:themeColor="text1"/>
                <w:w w:val="98"/>
              </w:rPr>
            </w:pPr>
            <w:r w:rsidRPr="00EC2ED0">
              <w:rPr>
                <w:color w:val="000000" w:themeColor="text1"/>
              </w:rPr>
              <w:t>Lun et al. (2016)</w:t>
            </w:r>
          </w:p>
        </w:tc>
      </w:tr>
    </w:tbl>
    <w:p w14:paraId="3E6532BE" w14:textId="77777777" w:rsidR="00745AD6" w:rsidRPr="00EC2ED0" w:rsidRDefault="00745AD6" w:rsidP="00E032DC">
      <w:pPr>
        <w:spacing w:line="338" w:lineRule="auto"/>
        <w:ind w:firstLine="284"/>
        <w:rPr>
          <w:rFonts w:eastAsia="함초롬바탕"/>
          <w:color w:val="000000" w:themeColor="text1"/>
          <w:spacing w:val="-2"/>
          <w:w w:val="98"/>
          <w:sz w:val="2"/>
          <w:szCs w:val="2"/>
        </w:rPr>
      </w:pPr>
    </w:p>
    <w:p w14:paraId="67F63DEB" w14:textId="77777777" w:rsidR="00745AD6" w:rsidRPr="00EC2ED0" w:rsidRDefault="00745AD6" w:rsidP="00E032DC">
      <w:pPr>
        <w:spacing w:line="338" w:lineRule="auto"/>
        <w:ind w:firstLine="284"/>
        <w:rPr>
          <w:rFonts w:eastAsia="함초롬바탕"/>
          <w:color w:val="000000" w:themeColor="text1"/>
          <w:spacing w:val="-2"/>
          <w:w w:val="98"/>
          <w:sz w:val="19"/>
          <w:szCs w:val="19"/>
        </w:rPr>
        <w:sectPr w:rsidR="00745AD6" w:rsidRPr="00EC2ED0" w:rsidSect="001D2527">
          <w:type w:val="continuous"/>
          <w:pgSz w:w="10438" w:h="15122" w:code="7"/>
          <w:pgMar w:top="1021" w:right="1191" w:bottom="964" w:left="1191" w:header="567" w:footer="567" w:gutter="0"/>
          <w:cols w:space="425"/>
          <w:docGrid w:linePitch="360"/>
        </w:sectPr>
      </w:pPr>
    </w:p>
    <w:p w14:paraId="5981E9E1" w14:textId="22C2398C" w:rsidR="00745AD6" w:rsidRPr="00EC2ED0" w:rsidRDefault="00745AD6" w:rsidP="00E032DC">
      <w:pPr>
        <w:spacing w:line="338" w:lineRule="auto"/>
        <w:ind w:firstLine="284"/>
        <w:rPr>
          <w:rFonts w:eastAsia="함초롬바탕"/>
          <w:color w:val="000000" w:themeColor="text1"/>
          <w:spacing w:val="-2"/>
          <w:w w:val="98"/>
          <w:sz w:val="19"/>
          <w:szCs w:val="19"/>
        </w:rPr>
      </w:pPr>
    </w:p>
    <w:p w14:paraId="455E0BEB" w14:textId="078A6A8E" w:rsidR="007A6CD5" w:rsidRPr="00EC2ED0" w:rsidRDefault="007A6CD5" w:rsidP="00636742">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Based on the results reported in Table 2, the reliability analysis shows strong internal consistency across all measurement scales. Service reliability records a Cronbach’s α of 0.875. Employee competence reaches a value of 0.911. Documentation efficiency reports a Cronbach’s α of 0.937. Customer</w:t>
      </w:r>
      <w:r w:rsidR="00124F95" w:rsidRPr="00EC2ED0">
        <w:rPr>
          <w:rFonts w:eastAsia="함초롬바탕"/>
          <w:color w:val="000000" w:themeColor="text1"/>
          <w:spacing w:val="-2"/>
          <w:w w:val="98"/>
          <w:sz w:val="19"/>
          <w:szCs w:val="19"/>
        </w:rPr>
        <w:t xml:space="preserve"> </w:t>
      </w:r>
      <w:r w:rsidRPr="00EC2ED0">
        <w:rPr>
          <w:rFonts w:eastAsia="함초롬바탕"/>
          <w:color w:val="000000" w:themeColor="text1"/>
          <w:spacing w:val="-2"/>
          <w:w w:val="98"/>
          <w:sz w:val="19"/>
          <w:szCs w:val="19"/>
        </w:rPr>
        <w:t>satisfaction shows the highest coefficient, at 0.972. Taken together, all Cronbach’s Alpha values exceed the recommended threshold of 0.8.</w:t>
      </w:r>
      <w:r w:rsidR="00C7536F" w:rsidRPr="00EC2ED0">
        <w:rPr>
          <w:rFonts w:eastAsia="함초롬바탕"/>
          <w:color w:val="000000" w:themeColor="text1"/>
          <w:spacing w:val="-2"/>
          <w:w w:val="98"/>
          <w:sz w:val="19"/>
          <w:szCs w:val="19"/>
        </w:rPr>
        <w:t xml:space="preserve"> </w:t>
      </w:r>
      <w:r w:rsidRPr="00EC2ED0">
        <w:rPr>
          <w:rFonts w:eastAsia="함초롬바탕"/>
          <w:color w:val="000000" w:themeColor="text1"/>
          <w:spacing w:val="-2"/>
          <w:w w:val="98"/>
          <w:sz w:val="19"/>
          <w:szCs w:val="19"/>
        </w:rPr>
        <w:t>Therefore, no observed items were required to be removed from subsequent analyses.</w:t>
      </w:r>
    </w:p>
    <w:p w14:paraId="402F289A" w14:textId="33F7809E" w:rsidR="007A6CD5" w:rsidRPr="00EC2ED0" w:rsidRDefault="007A6CD5" w:rsidP="00636742">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lang w:val="en-US"/>
        </w:rPr>
        <w:t xml:space="preserve">Exploratory factor analysis was conducted after the reliability assessment in order to examine the underlying factor structure of the measurement scales. The EFA was performed on 20 observed items representing four constructs. Principal Axis Factoring (PAF) was employed as the extraction </w:t>
      </w:r>
      <w:r w:rsidRPr="00EC2ED0">
        <w:rPr>
          <w:rFonts w:eastAsia="함초롬바탕"/>
          <w:color w:val="000000" w:themeColor="text1"/>
          <w:spacing w:val="-2"/>
          <w:w w:val="98"/>
          <w:sz w:val="19"/>
          <w:szCs w:val="19"/>
          <w:lang w:val="en-US"/>
        </w:rPr>
        <w:t>method to prioritize the identification of latent constructs. Promax rotation was applied to account for potential correlations between logistics service quality dimensions, providing a more realistic representation of the data structure than orthogonal methods</w:t>
      </w:r>
      <w:r w:rsidRPr="00EC2ED0">
        <w:rPr>
          <w:rFonts w:eastAsia="함초롬바탕"/>
          <w:color w:val="000000" w:themeColor="text1"/>
          <w:spacing w:val="-2"/>
          <w:w w:val="98"/>
          <w:sz w:val="19"/>
          <w:szCs w:val="19"/>
        </w:rPr>
        <w:t>.</w:t>
      </w:r>
    </w:p>
    <w:p w14:paraId="551F2DE7" w14:textId="7341E5F9" w:rsidR="00866FD1" w:rsidRPr="00EC2ED0" w:rsidRDefault="007A6CD5" w:rsidP="00636742">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Prior to factor extraction, the suitability of the dataset for factor analysis was assessed. The Kaiser–Meyer–Olkin (KMO) measure of sampling adequacy reached a value of 0.911, indicating an excellent level</w:t>
      </w:r>
      <w:r w:rsidR="00B842B1" w:rsidRPr="00EC2ED0">
        <w:rPr>
          <w:rFonts w:eastAsia="함초롬바탕"/>
          <w:color w:val="000000" w:themeColor="text1"/>
          <w:spacing w:val="-2"/>
          <w:w w:val="98"/>
          <w:sz w:val="19"/>
          <w:szCs w:val="19"/>
        </w:rPr>
        <w:t xml:space="preserve"> </w:t>
      </w:r>
      <w:r w:rsidRPr="00EC2ED0">
        <w:rPr>
          <w:rFonts w:eastAsia="함초롬바탕"/>
          <w:color w:val="000000" w:themeColor="text1"/>
          <w:spacing w:val="-2"/>
          <w:w w:val="98"/>
          <w:sz w:val="19"/>
          <w:szCs w:val="19"/>
        </w:rPr>
        <w:t>of common variance among the observed variables. Bartlett’s test of sphericity was statistically significant (χ² = 1709.126, df = 190, p &lt; 0.001), rejecting the null hypothesis that the correlation matrix is an identity matrix. These results confirm that the data are appropriate for exploratory factor analysis (Table 3).</w:t>
      </w:r>
    </w:p>
    <w:p w14:paraId="73E7F298" w14:textId="77777777" w:rsidR="00866FD1" w:rsidRPr="00EC2ED0" w:rsidRDefault="00866FD1" w:rsidP="00A66E1D">
      <w:pPr>
        <w:pStyle w:val="Caption"/>
        <w:rPr>
          <w:b/>
          <w:bCs/>
          <w:color w:val="000000" w:themeColor="text1"/>
        </w:rPr>
      </w:pPr>
    </w:p>
    <w:p w14:paraId="719D55EA" w14:textId="2A3D1952" w:rsidR="00A66E1D" w:rsidRPr="00EC2ED0" w:rsidRDefault="00A66E1D" w:rsidP="00A66E1D">
      <w:pPr>
        <w:pStyle w:val="Caption"/>
        <w:rPr>
          <w:color w:val="000000" w:themeColor="text1"/>
        </w:rPr>
      </w:pPr>
      <w:r w:rsidRPr="00EC2ED0">
        <w:rPr>
          <w:b/>
          <w:bCs/>
          <w:color w:val="000000" w:themeColor="text1"/>
        </w:rPr>
        <w:t xml:space="preserve">Table </w:t>
      </w:r>
      <w:r w:rsidRPr="00EC2ED0">
        <w:rPr>
          <w:b/>
          <w:bCs/>
          <w:color w:val="000000" w:themeColor="text1"/>
        </w:rPr>
        <w:fldChar w:fldCharType="begin"/>
      </w:r>
      <w:r w:rsidRPr="00EC2ED0">
        <w:rPr>
          <w:b/>
          <w:bCs/>
          <w:color w:val="000000" w:themeColor="text1"/>
        </w:rPr>
        <w:instrText xml:space="preserve"> SEQ Table \* ARABIC </w:instrText>
      </w:r>
      <w:r w:rsidRPr="00EC2ED0">
        <w:rPr>
          <w:b/>
          <w:bCs/>
          <w:color w:val="000000" w:themeColor="text1"/>
        </w:rPr>
        <w:fldChar w:fldCharType="separate"/>
      </w:r>
      <w:r w:rsidR="004E3278" w:rsidRPr="00EC2ED0">
        <w:rPr>
          <w:b/>
          <w:bCs/>
          <w:noProof/>
          <w:color w:val="000000" w:themeColor="text1"/>
        </w:rPr>
        <w:t>3</w:t>
      </w:r>
      <w:r w:rsidRPr="00EC2ED0">
        <w:rPr>
          <w:b/>
          <w:bCs/>
          <w:color w:val="000000" w:themeColor="text1"/>
        </w:rPr>
        <w:fldChar w:fldCharType="end"/>
      </w:r>
      <w:r w:rsidRPr="00EC2ED0">
        <w:rPr>
          <w:color w:val="000000" w:themeColor="text1"/>
        </w:rPr>
        <w:t xml:space="preserve">. </w:t>
      </w:r>
      <w:r w:rsidR="00A07360" w:rsidRPr="00EC2ED0">
        <w:rPr>
          <w:color w:val="000000" w:themeColor="text1"/>
        </w:rPr>
        <w:t>KMO and Bartlett’s test results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833"/>
      </w:tblGrid>
      <w:tr w:rsidR="00EC2ED0" w:rsidRPr="00EC2ED0" w14:paraId="4B5ED22F" w14:textId="77777777" w:rsidTr="00FA25F9">
        <w:tc>
          <w:tcPr>
            <w:tcW w:w="2972" w:type="dxa"/>
            <w:vAlign w:val="center"/>
          </w:tcPr>
          <w:p w14:paraId="19A360A0" w14:textId="0623E3C5" w:rsidR="00886A09" w:rsidRPr="00EC2ED0" w:rsidRDefault="00886A09" w:rsidP="00886A09">
            <w:pPr>
              <w:pStyle w:val="Subtitle"/>
              <w:rPr>
                <w:color w:val="000000" w:themeColor="text1"/>
                <w:spacing w:val="-2"/>
                <w:w w:val="98"/>
                <w:sz w:val="19"/>
                <w:szCs w:val="19"/>
              </w:rPr>
            </w:pPr>
            <w:r w:rsidRPr="00EC2ED0">
              <w:rPr>
                <w:color w:val="000000" w:themeColor="text1"/>
              </w:rPr>
              <w:t>KMO measure of sampling adequacy</w:t>
            </w:r>
          </w:p>
        </w:tc>
        <w:tc>
          <w:tcPr>
            <w:tcW w:w="833" w:type="dxa"/>
            <w:vAlign w:val="center"/>
          </w:tcPr>
          <w:p w14:paraId="2BBEA223" w14:textId="29E5B5E3" w:rsidR="00886A09" w:rsidRPr="00EC2ED0" w:rsidRDefault="00886A09" w:rsidP="00886A09">
            <w:pPr>
              <w:pStyle w:val="Subtitle"/>
              <w:rPr>
                <w:color w:val="000000" w:themeColor="text1"/>
                <w:spacing w:val="-2"/>
                <w:w w:val="98"/>
                <w:sz w:val="19"/>
                <w:szCs w:val="19"/>
              </w:rPr>
            </w:pPr>
            <w:r w:rsidRPr="00EC2ED0">
              <w:rPr>
                <w:color w:val="000000" w:themeColor="text1"/>
              </w:rPr>
              <w:t>0.911</w:t>
            </w:r>
          </w:p>
        </w:tc>
      </w:tr>
      <w:tr w:rsidR="00EC2ED0" w:rsidRPr="00EC2ED0" w14:paraId="7EC990C6" w14:textId="77777777" w:rsidTr="00FA25F9">
        <w:tc>
          <w:tcPr>
            <w:tcW w:w="2972" w:type="dxa"/>
            <w:vAlign w:val="center"/>
          </w:tcPr>
          <w:p w14:paraId="0FB23B21" w14:textId="6C7F9D94" w:rsidR="00886A09" w:rsidRPr="00EC2ED0" w:rsidRDefault="00886A09" w:rsidP="00886A09">
            <w:pPr>
              <w:pStyle w:val="Subtitle"/>
              <w:rPr>
                <w:color w:val="000000" w:themeColor="text1"/>
                <w:spacing w:val="-2"/>
                <w:w w:val="98"/>
                <w:sz w:val="19"/>
                <w:szCs w:val="19"/>
              </w:rPr>
            </w:pPr>
            <w:r w:rsidRPr="00EC2ED0">
              <w:rPr>
                <w:color w:val="000000" w:themeColor="text1"/>
              </w:rPr>
              <w:t>Bartlett’s test χ²</w:t>
            </w:r>
          </w:p>
        </w:tc>
        <w:tc>
          <w:tcPr>
            <w:tcW w:w="833" w:type="dxa"/>
            <w:vAlign w:val="center"/>
          </w:tcPr>
          <w:p w14:paraId="4393239A" w14:textId="76CD27FB" w:rsidR="00886A09" w:rsidRPr="00EC2ED0" w:rsidRDefault="00886A09" w:rsidP="00886A09">
            <w:pPr>
              <w:pStyle w:val="Subtitle"/>
              <w:rPr>
                <w:color w:val="000000" w:themeColor="text1"/>
                <w:spacing w:val="-2"/>
                <w:w w:val="98"/>
                <w:sz w:val="19"/>
                <w:szCs w:val="19"/>
              </w:rPr>
            </w:pPr>
            <w:r w:rsidRPr="00EC2ED0">
              <w:rPr>
                <w:color w:val="000000" w:themeColor="text1"/>
              </w:rPr>
              <w:t>1709.126</w:t>
            </w:r>
          </w:p>
        </w:tc>
      </w:tr>
      <w:tr w:rsidR="00EC2ED0" w:rsidRPr="00EC2ED0" w14:paraId="25F0B543" w14:textId="77777777" w:rsidTr="00FA25F9">
        <w:tc>
          <w:tcPr>
            <w:tcW w:w="2972" w:type="dxa"/>
            <w:vAlign w:val="center"/>
          </w:tcPr>
          <w:p w14:paraId="15C40739" w14:textId="3783B3B5" w:rsidR="00886A09" w:rsidRPr="00EC2ED0" w:rsidRDefault="00886A09" w:rsidP="00886A09">
            <w:pPr>
              <w:pStyle w:val="Subtitle"/>
              <w:rPr>
                <w:color w:val="000000" w:themeColor="text1"/>
                <w:spacing w:val="-2"/>
                <w:w w:val="98"/>
                <w:sz w:val="19"/>
                <w:szCs w:val="19"/>
              </w:rPr>
            </w:pPr>
            <w:r w:rsidRPr="00EC2ED0">
              <w:rPr>
                <w:color w:val="000000" w:themeColor="text1"/>
              </w:rPr>
              <w:t>Degrees of freedom</w:t>
            </w:r>
          </w:p>
        </w:tc>
        <w:tc>
          <w:tcPr>
            <w:tcW w:w="833" w:type="dxa"/>
            <w:vAlign w:val="center"/>
          </w:tcPr>
          <w:p w14:paraId="1C55E2F6" w14:textId="5291F368" w:rsidR="00886A09" w:rsidRPr="00EC2ED0" w:rsidRDefault="00886A09" w:rsidP="00886A09">
            <w:pPr>
              <w:pStyle w:val="Subtitle"/>
              <w:rPr>
                <w:color w:val="000000" w:themeColor="text1"/>
                <w:spacing w:val="-2"/>
                <w:w w:val="98"/>
                <w:sz w:val="19"/>
                <w:szCs w:val="19"/>
              </w:rPr>
            </w:pPr>
            <w:r w:rsidRPr="00EC2ED0">
              <w:rPr>
                <w:color w:val="000000" w:themeColor="text1"/>
              </w:rPr>
              <w:t>190</w:t>
            </w:r>
          </w:p>
        </w:tc>
      </w:tr>
      <w:tr w:rsidR="000D240E" w:rsidRPr="00EC2ED0" w14:paraId="53D0DE01" w14:textId="77777777" w:rsidTr="00FA25F9">
        <w:tc>
          <w:tcPr>
            <w:tcW w:w="2972" w:type="dxa"/>
            <w:vAlign w:val="center"/>
          </w:tcPr>
          <w:p w14:paraId="1E66802B" w14:textId="4433AFA7" w:rsidR="00886A09" w:rsidRPr="00EC2ED0" w:rsidRDefault="00886A09" w:rsidP="00886A09">
            <w:pPr>
              <w:pStyle w:val="Subtitle"/>
              <w:rPr>
                <w:color w:val="000000" w:themeColor="text1"/>
                <w:spacing w:val="-2"/>
                <w:w w:val="98"/>
                <w:sz w:val="19"/>
                <w:szCs w:val="19"/>
              </w:rPr>
            </w:pPr>
            <w:r w:rsidRPr="00EC2ED0">
              <w:rPr>
                <w:color w:val="000000" w:themeColor="text1"/>
              </w:rPr>
              <w:t>Significance (p-value)</w:t>
            </w:r>
          </w:p>
        </w:tc>
        <w:tc>
          <w:tcPr>
            <w:tcW w:w="833" w:type="dxa"/>
            <w:vAlign w:val="center"/>
          </w:tcPr>
          <w:p w14:paraId="5D4FA745" w14:textId="0DE66F77" w:rsidR="00886A09" w:rsidRPr="00EC2ED0" w:rsidRDefault="00886A09" w:rsidP="00886A09">
            <w:pPr>
              <w:pStyle w:val="Subtitle"/>
              <w:rPr>
                <w:color w:val="000000" w:themeColor="text1"/>
                <w:spacing w:val="-2"/>
                <w:w w:val="98"/>
                <w:sz w:val="19"/>
                <w:szCs w:val="19"/>
              </w:rPr>
            </w:pPr>
            <w:r w:rsidRPr="00EC2ED0">
              <w:rPr>
                <w:color w:val="000000" w:themeColor="text1"/>
              </w:rPr>
              <w:t>&lt; 0.001</w:t>
            </w:r>
          </w:p>
        </w:tc>
      </w:tr>
    </w:tbl>
    <w:p w14:paraId="5839E7D1" w14:textId="77777777" w:rsidR="00886A09" w:rsidRPr="00EC2ED0" w:rsidRDefault="00886A09" w:rsidP="00E7777F">
      <w:pPr>
        <w:spacing w:line="276" w:lineRule="auto"/>
        <w:ind w:firstLine="284"/>
        <w:rPr>
          <w:rFonts w:eastAsia="함초롬바탕"/>
          <w:color w:val="000000" w:themeColor="text1"/>
          <w:spacing w:val="-2"/>
          <w:w w:val="98"/>
        </w:rPr>
      </w:pPr>
    </w:p>
    <w:p w14:paraId="005ED6A9" w14:textId="4691277C" w:rsidR="00A07360" w:rsidRPr="00EC2ED0" w:rsidRDefault="00E7777F" w:rsidP="005353D4">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The analysis resulted in the extraction of four factors, which is consistent with the proposed research model. The pattern matrix shows a clear and stable structure. All observed items load strongly on their respective factors, with factor loadings exceeding the recommended threshold of 0.50. No problematic cross-loadings were observed, as each item loads substantially higher on its intended factor than on others. This pattern indicates satisfactory discriminant validity (Table 4).</w:t>
      </w:r>
    </w:p>
    <w:p w14:paraId="528F8B54" w14:textId="77777777" w:rsidR="00025583" w:rsidRPr="00EC2ED0" w:rsidRDefault="00025583" w:rsidP="0023262E">
      <w:pPr>
        <w:spacing w:line="360" w:lineRule="auto"/>
        <w:ind w:firstLine="284"/>
        <w:rPr>
          <w:rFonts w:eastAsia="함초롬바탕"/>
          <w:color w:val="000000" w:themeColor="text1"/>
          <w:spacing w:val="-2"/>
          <w:w w:val="98"/>
          <w:sz w:val="19"/>
          <w:szCs w:val="19"/>
        </w:rPr>
      </w:pPr>
    </w:p>
    <w:p w14:paraId="3118C9EF" w14:textId="60F1B3C2" w:rsidR="002273D4" w:rsidRPr="00EC2ED0" w:rsidRDefault="002273D4" w:rsidP="002273D4">
      <w:pPr>
        <w:pStyle w:val="Caption"/>
        <w:rPr>
          <w:color w:val="000000" w:themeColor="text1"/>
        </w:rPr>
      </w:pPr>
      <w:r w:rsidRPr="00EC2ED0">
        <w:rPr>
          <w:b/>
          <w:bCs/>
          <w:color w:val="000000" w:themeColor="text1"/>
        </w:rPr>
        <w:t xml:space="preserve">Table </w:t>
      </w:r>
      <w:r w:rsidRPr="00EC2ED0">
        <w:rPr>
          <w:b/>
          <w:bCs/>
          <w:color w:val="000000" w:themeColor="text1"/>
        </w:rPr>
        <w:fldChar w:fldCharType="begin"/>
      </w:r>
      <w:r w:rsidRPr="00EC2ED0">
        <w:rPr>
          <w:b/>
          <w:bCs/>
          <w:color w:val="000000" w:themeColor="text1"/>
        </w:rPr>
        <w:instrText xml:space="preserve"> SEQ Table \* ARABIC </w:instrText>
      </w:r>
      <w:r w:rsidRPr="00EC2ED0">
        <w:rPr>
          <w:b/>
          <w:bCs/>
          <w:color w:val="000000" w:themeColor="text1"/>
        </w:rPr>
        <w:fldChar w:fldCharType="separate"/>
      </w:r>
      <w:r w:rsidR="004E3278" w:rsidRPr="00EC2ED0">
        <w:rPr>
          <w:b/>
          <w:bCs/>
          <w:noProof/>
          <w:color w:val="000000" w:themeColor="text1"/>
        </w:rPr>
        <w:t>4</w:t>
      </w:r>
      <w:r w:rsidRPr="00EC2ED0">
        <w:rPr>
          <w:b/>
          <w:bCs/>
          <w:color w:val="000000" w:themeColor="text1"/>
        </w:rPr>
        <w:fldChar w:fldCharType="end"/>
      </w:r>
      <w:r w:rsidRPr="00EC2ED0">
        <w:rPr>
          <w:color w:val="000000" w:themeColor="text1"/>
        </w:rPr>
        <w:t xml:space="preserve">. </w:t>
      </w:r>
      <w:r w:rsidR="00F519E4" w:rsidRPr="00EC2ED0">
        <w:rPr>
          <w:color w:val="000000" w:themeColor="text1"/>
        </w:rPr>
        <w:t>Pattern matrix</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single" w:sz="12" w:space="0" w:color="auto"/>
        </w:tblBorders>
        <w:tblLook w:val="04A0" w:firstRow="1" w:lastRow="0" w:firstColumn="1" w:lastColumn="0" w:noHBand="0" w:noVBand="1"/>
      </w:tblPr>
      <w:tblGrid>
        <w:gridCol w:w="761"/>
        <w:gridCol w:w="761"/>
        <w:gridCol w:w="761"/>
        <w:gridCol w:w="761"/>
        <w:gridCol w:w="761"/>
      </w:tblGrid>
      <w:tr w:rsidR="00EC2ED0" w:rsidRPr="00EC2ED0" w14:paraId="13BC12EF" w14:textId="77777777" w:rsidTr="00FA25F9">
        <w:trPr>
          <w:tblHeader/>
        </w:trPr>
        <w:tc>
          <w:tcPr>
            <w:tcW w:w="761" w:type="dxa"/>
            <w:tcBorders>
              <w:top w:val="single" w:sz="12" w:space="0" w:color="auto"/>
              <w:bottom w:val="single" w:sz="12" w:space="0" w:color="auto"/>
              <w:right w:val="nil"/>
            </w:tcBorders>
            <w:vAlign w:val="center"/>
          </w:tcPr>
          <w:p w14:paraId="55EC0151" w14:textId="2DF89901" w:rsidR="004C0CC5" w:rsidRPr="00EC2ED0" w:rsidRDefault="004C0CC5" w:rsidP="003D4BDA">
            <w:pPr>
              <w:pStyle w:val="Subtitle"/>
              <w:jc w:val="center"/>
              <w:rPr>
                <w:color w:val="000000" w:themeColor="text1"/>
                <w:spacing w:val="-2"/>
                <w:w w:val="98"/>
                <w:sz w:val="19"/>
                <w:szCs w:val="19"/>
              </w:rPr>
            </w:pPr>
            <w:r w:rsidRPr="00EC2ED0">
              <w:rPr>
                <w:color w:val="000000" w:themeColor="text1"/>
              </w:rPr>
              <w:t>Item</w:t>
            </w:r>
          </w:p>
        </w:tc>
        <w:tc>
          <w:tcPr>
            <w:tcW w:w="761" w:type="dxa"/>
            <w:tcBorders>
              <w:top w:val="single" w:sz="12" w:space="0" w:color="auto"/>
              <w:left w:val="nil"/>
              <w:bottom w:val="single" w:sz="12" w:space="0" w:color="auto"/>
              <w:right w:val="nil"/>
            </w:tcBorders>
            <w:vAlign w:val="center"/>
          </w:tcPr>
          <w:p w14:paraId="59FB5791" w14:textId="0C56F2E4" w:rsidR="004C0CC5" w:rsidRPr="00EC2ED0" w:rsidRDefault="004C0CC5" w:rsidP="003D4BDA">
            <w:pPr>
              <w:pStyle w:val="Subtitle"/>
              <w:jc w:val="center"/>
              <w:rPr>
                <w:color w:val="000000" w:themeColor="text1"/>
                <w:spacing w:val="-2"/>
                <w:w w:val="98"/>
                <w:sz w:val="19"/>
                <w:szCs w:val="19"/>
              </w:rPr>
            </w:pPr>
            <w:r w:rsidRPr="00EC2ED0">
              <w:rPr>
                <w:rStyle w:val="Strong"/>
                <w:b w:val="0"/>
                <w:bCs w:val="0"/>
                <w:color w:val="000000" w:themeColor="text1"/>
              </w:rPr>
              <w:t>EMP</w:t>
            </w:r>
          </w:p>
        </w:tc>
        <w:tc>
          <w:tcPr>
            <w:tcW w:w="761" w:type="dxa"/>
            <w:tcBorders>
              <w:top w:val="single" w:sz="12" w:space="0" w:color="auto"/>
              <w:left w:val="nil"/>
              <w:bottom w:val="single" w:sz="12" w:space="0" w:color="auto"/>
              <w:right w:val="nil"/>
            </w:tcBorders>
            <w:vAlign w:val="center"/>
          </w:tcPr>
          <w:p w14:paraId="1A5B3909" w14:textId="7EB0CB99" w:rsidR="004C0CC5" w:rsidRPr="00EC2ED0" w:rsidRDefault="004C0CC5" w:rsidP="003D4BDA">
            <w:pPr>
              <w:pStyle w:val="Subtitle"/>
              <w:jc w:val="center"/>
              <w:rPr>
                <w:color w:val="000000" w:themeColor="text1"/>
                <w:spacing w:val="-2"/>
                <w:w w:val="98"/>
                <w:sz w:val="19"/>
                <w:szCs w:val="19"/>
              </w:rPr>
            </w:pPr>
            <w:r w:rsidRPr="00EC2ED0">
              <w:rPr>
                <w:rStyle w:val="Strong"/>
                <w:b w:val="0"/>
                <w:bCs w:val="0"/>
                <w:color w:val="000000" w:themeColor="text1"/>
              </w:rPr>
              <w:t>SAT</w:t>
            </w:r>
          </w:p>
        </w:tc>
        <w:tc>
          <w:tcPr>
            <w:tcW w:w="761" w:type="dxa"/>
            <w:tcBorders>
              <w:top w:val="single" w:sz="12" w:space="0" w:color="auto"/>
              <w:left w:val="nil"/>
              <w:bottom w:val="single" w:sz="12" w:space="0" w:color="auto"/>
              <w:right w:val="nil"/>
            </w:tcBorders>
            <w:vAlign w:val="center"/>
          </w:tcPr>
          <w:p w14:paraId="38A7BC34" w14:textId="5F7FA451" w:rsidR="004C0CC5" w:rsidRPr="00EC2ED0" w:rsidRDefault="004C0CC5" w:rsidP="003D4BDA">
            <w:pPr>
              <w:pStyle w:val="Subtitle"/>
              <w:jc w:val="center"/>
              <w:rPr>
                <w:color w:val="000000" w:themeColor="text1"/>
                <w:spacing w:val="-2"/>
                <w:w w:val="98"/>
                <w:sz w:val="19"/>
                <w:szCs w:val="19"/>
              </w:rPr>
            </w:pPr>
            <w:r w:rsidRPr="00EC2ED0">
              <w:rPr>
                <w:rStyle w:val="Strong"/>
                <w:b w:val="0"/>
                <w:bCs w:val="0"/>
                <w:color w:val="000000" w:themeColor="text1"/>
              </w:rPr>
              <w:t>DOC</w:t>
            </w:r>
          </w:p>
        </w:tc>
        <w:tc>
          <w:tcPr>
            <w:tcW w:w="761" w:type="dxa"/>
            <w:tcBorders>
              <w:top w:val="single" w:sz="12" w:space="0" w:color="auto"/>
              <w:left w:val="nil"/>
              <w:bottom w:val="single" w:sz="12" w:space="0" w:color="auto"/>
            </w:tcBorders>
            <w:vAlign w:val="center"/>
          </w:tcPr>
          <w:p w14:paraId="15EBD7A2" w14:textId="3ECF9B75" w:rsidR="004C0CC5" w:rsidRPr="00EC2ED0" w:rsidRDefault="004C0CC5" w:rsidP="003D4BDA">
            <w:pPr>
              <w:pStyle w:val="Subtitle"/>
              <w:jc w:val="center"/>
              <w:rPr>
                <w:color w:val="000000" w:themeColor="text1"/>
                <w:spacing w:val="-2"/>
                <w:w w:val="98"/>
                <w:sz w:val="19"/>
                <w:szCs w:val="19"/>
              </w:rPr>
            </w:pPr>
            <w:r w:rsidRPr="00EC2ED0">
              <w:rPr>
                <w:rStyle w:val="Strong"/>
                <w:b w:val="0"/>
                <w:bCs w:val="0"/>
                <w:color w:val="000000" w:themeColor="text1"/>
              </w:rPr>
              <w:t>RE</w:t>
            </w:r>
          </w:p>
        </w:tc>
      </w:tr>
      <w:tr w:rsidR="00EC2ED0" w:rsidRPr="00EC2ED0" w14:paraId="0C915882" w14:textId="77777777" w:rsidTr="00FA25F9">
        <w:tc>
          <w:tcPr>
            <w:tcW w:w="761" w:type="dxa"/>
            <w:tcBorders>
              <w:top w:val="single" w:sz="12" w:space="0" w:color="auto"/>
              <w:right w:val="nil"/>
            </w:tcBorders>
            <w:vAlign w:val="center"/>
          </w:tcPr>
          <w:p w14:paraId="312F0D54" w14:textId="3D8B9DCA" w:rsidR="004C0CC5" w:rsidRPr="00EC2ED0" w:rsidRDefault="004C0CC5" w:rsidP="004C0CC5">
            <w:pPr>
              <w:pStyle w:val="Subtitle"/>
              <w:rPr>
                <w:color w:val="000000" w:themeColor="text1"/>
                <w:spacing w:val="-2"/>
                <w:w w:val="98"/>
                <w:sz w:val="19"/>
                <w:szCs w:val="19"/>
              </w:rPr>
            </w:pPr>
            <w:r w:rsidRPr="00EC2ED0">
              <w:rPr>
                <w:color w:val="000000" w:themeColor="text1"/>
              </w:rPr>
              <w:t>EMP4</w:t>
            </w:r>
          </w:p>
        </w:tc>
        <w:tc>
          <w:tcPr>
            <w:tcW w:w="761" w:type="dxa"/>
            <w:tcBorders>
              <w:top w:val="single" w:sz="12" w:space="0" w:color="auto"/>
              <w:left w:val="nil"/>
              <w:right w:val="nil"/>
            </w:tcBorders>
            <w:vAlign w:val="center"/>
          </w:tcPr>
          <w:p w14:paraId="751F1353" w14:textId="30311065"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0.842</w:t>
            </w:r>
          </w:p>
        </w:tc>
        <w:tc>
          <w:tcPr>
            <w:tcW w:w="761" w:type="dxa"/>
            <w:tcBorders>
              <w:top w:val="single" w:sz="12" w:space="0" w:color="auto"/>
              <w:left w:val="nil"/>
              <w:right w:val="nil"/>
            </w:tcBorders>
            <w:vAlign w:val="center"/>
          </w:tcPr>
          <w:p w14:paraId="44353FC1" w14:textId="77777777" w:rsidR="004C0CC5" w:rsidRPr="00EC2ED0" w:rsidRDefault="004C0CC5" w:rsidP="004C0CC5">
            <w:pPr>
              <w:pStyle w:val="Subtitle"/>
              <w:rPr>
                <w:color w:val="000000" w:themeColor="text1"/>
                <w:spacing w:val="-2"/>
                <w:w w:val="98"/>
                <w:sz w:val="19"/>
                <w:szCs w:val="19"/>
              </w:rPr>
            </w:pPr>
          </w:p>
        </w:tc>
        <w:tc>
          <w:tcPr>
            <w:tcW w:w="761" w:type="dxa"/>
            <w:tcBorders>
              <w:top w:val="single" w:sz="12" w:space="0" w:color="auto"/>
              <w:left w:val="nil"/>
              <w:right w:val="nil"/>
            </w:tcBorders>
            <w:vAlign w:val="center"/>
          </w:tcPr>
          <w:p w14:paraId="49DB9878" w14:textId="77777777" w:rsidR="004C0CC5" w:rsidRPr="00EC2ED0" w:rsidRDefault="004C0CC5" w:rsidP="004C0CC5">
            <w:pPr>
              <w:pStyle w:val="Subtitle"/>
              <w:rPr>
                <w:color w:val="000000" w:themeColor="text1"/>
                <w:spacing w:val="-2"/>
                <w:w w:val="98"/>
                <w:sz w:val="19"/>
                <w:szCs w:val="19"/>
              </w:rPr>
            </w:pPr>
          </w:p>
        </w:tc>
        <w:tc>
          <w:tcPr>
            <w:tcW w:w="761" w:type="dxa"/>
            <w:tcBorders>
              <w:top w:val="single" w:sz="12" w:space="0" w:color="auto"/>
              <w:left w:val="nil"/>
            </w:tcBorders>
            <w:vAlign w:val="center"/>
          </w:tcPr>
          <w:p w14:paraId="087506C5" w14:textId="77777777" w:rsidR="004C0CC5" w:rsidRPr="00EC2ED0" w:rsidRDefault="004C0CC5" w:rsidP="004C0CC5">
            <w:pPr>
              <w:pStyle w:val="Subtitle"/>
              <w:rPr>
                <w:color w:val="000000" w:themeColor="text1"/>
                <w:spacing w:val="-2"/>
                <w:w w:val="98"/>
                <w:sz w:val="19"/>
                <w:szCs w:val="19"/>
              </w:rPr>
            </w:pPr>
          </w:p>
        </w:tc>
      </w:tr>
      <w:tr w:rsidR="00EC2ED0" w:rsidRPr="00EC2ED0" w14:paraId="10BC6A5C" w14:textId="77777777" w:rsidTr="00FA25F9">
        <w:tc>
          <w:tcPr>
            <w:tcW w:w="761" w:type="dxa"/>
            <w:tcBorders>
              <w:right w:val="nil"/>
            </w:tcBorders>
            <w:vAlign w:val="center"/>
          </w:tcPr>
          <w:p w14:paraId="3EFD3BC2" w14:textId="654ECD81" w:rsidR="004C0CC5" w:rsidRPr="00EC2ED0" w:rsidRDefault="004C0CC5" w:rsidP="004C0CC5">
            <w:pPr>
              <w:pStyle w:val="Subtitle"/>
              <w:rPr>
                <w:color w:val="000000" w:themeColor="text1"/>
                <w:spacing w:val="-2"/>
                <w:w w:val="98"/>
                <w:sz w:val="19"/>
                <w:szCs w:val="19"/>
              </w:rPr>
            </w:pPr>
            <w:r w:rsidRPr="00EC2ED0">
              <w:rPr>
                <w:color w:val="000000" w:themeColor="text1"/>
              </w:rPr>
              <w:t>EMP2</w:t>
            </w:r>
          </w:p>
        </w:tc>
        <w:tc>
          <w:tcPr>
            <w:tcW w:w="761" w:type="dxa"/>
            <w:tcBorders>
              <w:left w:val="nil"/>
              <w:right w:val="nil"/>
            </w:tcBorders>
            <w:vAlign w:val="center"/>
          </w:tcPr>
          <w:p w14:paraId="13EA54BA" w14:textId="1B2EAD66"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0.815</w:t>
            </w:r>
          </w:p>
        </w:tc>
        <w:tc>
          <w:tcPr>
            <w:tcW w:w="761" w:type="dxa"/>
            <w:tcBorders>
              <w:left w:val="nil"/>
              <w:right w:val="nil"/>
            </w:tcBorders>
            <w:vAlign w:val="center"/>
          </w:tcPr>
          <w:p w14:paraId="1FC10F7B"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4C7BA618" w14:textId="77777777" w:rsidR="004C0CC5" w:rsidRPr="00EC2ED0" w:rsidRDefault="004C0CC5" w:rsidP="004C0CC5">
            <w:pPr>
              <w:pStyle w:val="Subtitle"/>
              <w:rPr>
                <w:color w:val="000000" w:themeColor="text1"/>
                <w:spacing w:val="-2"/>
                <w:w w:val="98"/>
                <w:sz w:val="19"/>
                <w:szCs w:val="19"/>
              </w:rPr>
            </w:pPr>
          </w:p>
        </w:tc>
        <w:tc>
          <w:tcPr>
            <w:tcW w:w="761" w:type="dxa"/>
            <w:tcBorders>
              <w:left w:val="nil"/>
            </w:tcBorders>
            <w:vAlign w:val="center"/>
          </w:tcPr>
          <w:p w14:paraId="3E9FBA57" w14:textId="77777777" w:rsidR="004C0CC5" w:rsidRPr="00EC2ED0" w:rsidRDefault="004C0CC5" w:rsidP="004C0CC5">
            <w:pPr>
              <w:pStyle w:val="Subtitle"/>
              <w:rPr>
                <w:color w:val="000000" w:themeColor="text1"/>
                <w:spacing w:val="-2"/>
                <w:w w:val="98"/>
                <w:sz w:val="19"/>
                <w:szCs w:val="19"/>
              </w:rPr>
            </w:pPr>
          </w:p>
        </w:tc>
      </w:tr>
      <w:tr w:rsidR="00EC2ED0" w:rsidRPr="00EC2ED0" w14:paraId="21E20985" w14:textId="77777777" w:rsidTr="00FA25F9">
        <w:tc>
          <w:tcPr>
            <w:tcW w:w="761" w:type="dxa"/>
            <w:tcBorders>
              <w:right w:val="nil"/>
            </w:tcBorders>
            <w:vAlign w:val="center"/>
          </w:tcPr>
          <w:p w14:paraId="2748FB3A" w14:textId="68BEEC3B" w:rsidR="004C0CC5" w:rsidRPr="00EC2ED0" w:rsidRDefault="004C0CC5" w:rsidP="004C0CC5">
            <w:pPr>
              <w:pStyle w:val="Subtitle"/>
              <w:rPr>
                <w:color w:val="000000" w:themeColor="text1"/>
                <w:spacing w:val="-2"/>
                <w:w w:val="98"/>
                <w:sz w:val="19"/>
                <w:szCs w:val="19"/>
              </w:rPr>
            </w:pPr>
            <w:r w:rsidRPr="00EC2ED0">
              <w:rPr>
                <w:color w:val="000000" w:themeColor="text1"/>
              </w:rPr>
              <w:t>EMP1</w:t>
            </w:r>
          </w:p>
        </w:tc>
        <w:tc>
          <w:tcPr>
            <w:tcW w:w="761" w:type="dxa"/>
            <w:tcBorders>
              <w:left w:val="nil"/>
              <w:right w:val="nil"/>
            </w:tcBorders>
            <w:vAlign w:val="center"/>
          </w:tcPr>
          <w:p w14:paraId="35DAB590" w14:textId="7F798CE4"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0.789</w:t>
            </w:r>
          </w:p>
        </w:tc>
        <w:tc>
          <w:tcPr>
            <w:tcW w:w="761" w:type="dxa"/>
            <w:tcBorders>
              <w:left w:val="nil"/>
              <w:right w:val="nil"/>
            </w:tcBorders>
            <w:vAlign w:val="center"/>
          </w:tcPr>
          <w:p w14:paraId="227438D2"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5FB48C28" w14:textId="77777777" w:rsidR="004C0CC5" w:rsidRPr="00EC2ED0" w:rsidRDefault="004C0CC5" w:rsidP="004C0CC5">
            <w:pPr>
              <w:pStyle w:val="Subtitle"/>
              <w:rPr>
                <w:color w:val="000000" w:themeColor="text1"/>
                <w:spacing w:val="-2"/>
                <w:w w:val="98"/>
                <w:sz w:val="19"/>
                <w:szCs w:val="19"/>
              </w:rPr>
            </w:pPr>
          </w:p>
        </w:tc>
        <w:tc>
          <w:tcPr>
            <w:tcW w:w="761" w:type="dxa"/>
            <w:tcBorders>
              <w:left w:val="nil"/>
            </w:tcBorders>
            <w:vAlign w:val="center"/>
          </w:tcPr>
          <w:p w14:paraId="2C71B964" w14:textId="77777777" w:rsidR="004C0CC5" w:rsidRPr="00EC2ED0" w:rsidRDefault="004C0CC5" w:rsidP="004C0CC5">
            <w:pPr>
              <w:pStyle w:val="Subtitle"/>
              <w:rPr>
                <w:color w:val="000000" w:themeColor="text1"/>
                <w:spacing w:val="-2"/>
                <w:w w:val="98"/>
                <w:sz w:val="19"/>
                <w:szCs w:val="19"/>
              </w:rPr>
            </w:pPr>
          </w:p>
        </w:tc>
      </w:tr>
      <w:tr w:rsidR="00EC2ED0" w:rsidRPr="00EC2ED0" w14:paraId="24D3DC40" w14:textId="77777777" w:rsidTr="00FA25F9">
        <w:tc>
          <w:tcPr>
            <w:tcW w:w="761" w:type="dxa"/>
            <w:tcBorders>
              <w:right w:val="nil"/>
            </w:tcBorders>
            <w:vAlign w:val="center"/>
          </w:tcPr>
          <w:p w14:paraId="77940523" w14:textId="751EF186" w:rsidR="004C0CC5" w:rsidRPr="00EC2ED0" w:rsidRDefault="004C0CC5" w:rsidP="004C0CC5">
            <w:pPr>
              <w:pStyle w:val="Subtitle"/>
              <w:rPr>
                <w:color w:val="000000" w:themeColor="text1"/>
                <w:spacing w:val="-2"/>
                <w:w w:val="98"/>
                <w:sz w:val="19"/>
                <w:szCs w:val="19"/>
              </w:rPr>
            </w:pPr>
            <w:r w:rsidRPr="00EC2ED0">
              <w:rPr>
                <w:color w:val="000000" w:themeColor="text1"/>
              </w:rPr>
              <w:t>EMP5</w:t>
            </w:r>
          </w:p>
        </w:tc>
        <w:tc>
          <w:tcPr>
            <w:tcW w:w="761" w:type="dxa"/>
            <w:tcBorders>
              <w:left w:val="nil"/>
              <w:right w:val="nil"/>
            </w:tcBorders>
            <w:vAlign w:val="center"/>
          </w:tcPr>
          <w:p w14:paraId="0495F70B" w14:textId="3F2494B2"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0.763</w:t>
            </w:r>
          </w:p>
        </w:tc>
        <w:tc>
          <w:tcPr>
            <w:tcW w:w="761" w:type="dxa"/>
            <w:tcBorders>
              <w:left w:val="nil"/>
              <w:right w:val="nil"/>
            </w:tcBorders>
            <w:vAlign w:val="center"/>
          </w:tcPr>
          <w:p w14:paraId="0833270F"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2D6E178F" w14:textId="77777777" w:rsidR="004C0CC5" w:rsidRPr="00EC2ED0" w:rsidRDefault="004C0CC5" w:rsidP="004C0CC5">
            <w:pPr>
              <w:pStyle w:val="Subtitle"/>
              <w:rPr>
                <w:color w:val="000000" w:themeColor="text1"/>
                <w:spacing w:val="-2"/>
                <w:w w:val="98"/>
                <w:sz w:val="19"/>
                <w:szCs w:val="19"/>
              </w:rPr>
            </w:pPr>
          </w:p>
        </w:tc>
        <w:tc>
          <w:tcPr>
            <w:tcW w:w="761" w:type="dxa"/>
            <w:tcBorders>
              <w:left w:val="nil"/>
            </w:tcBorders>
            <w:vAlign w:val="center"/>
          </w:tcPr>
          <w:p w14:paraId="738A89C2" w14:textId="77777777" w:rsidR="004C0CC5" w:rsidRPr="00EC2ED0" w:rsidRDefault="004C0CC5" w:rsidP="004C0CC5">
            <w:pPr>
              <w:pStyle w:val="Subtitle"/>
              <w:rPr>
                <w:color w:val="000000" w:themeColor="text1"/>
                <w:spacing w:val="-2"/>
                <w:w w:val="98"/>
                <w:sz w:val="19"/>
                <w:szCs w:val="19"/>
              </w:rPr>
            </w:pPr>
          </w:p>
        </w:tc>
      </w:tr>
      <w:tr w:rsidR="00EC2ED0" w:rsidRPr="00EC2ED0" w14:paraId="73B0E210" w14:textId="77777777" w:rsidTr="00FA25F9">
        <w:tc>
          <w:tcPr>
            <w:tcW w:w="761" w:type="dxa"/>
            <w:tcBorders>
              <w:right w:val="nil"/>
            </w:tcBorders>
            <w:vAlign w:val="center"/>
          </w:tcPr>
          <w:p w14:paraId="6EB557FE" w14:textId="7969439B" w:rsidR="004C0CC5" w:rsidRPr="00EC2ED0" w:rsidRDefault="004C0CC5" w:rsidP="004C0CC5">
            <w:pPr>
              <w:pStyle w:val="Subtitle"/>
              <w:rPr>
                <w:color w:val="000000" w:themeColor="text1"/>
                <w:spacing w:val="-2"/>
                <w:w w:val="98"/>
                <w:sz w:val="19"/>
                <w:szCs w:val="19"/>
              </w:rPr>
            </w:pPr>
            <w:r w:rsidRPr="00EC2ED0">
              <w:rPr>
                <w:color w:val="000000" w:themeColor="text1"/>
              </w:rPr>
              <w:t>EMP3</w:t>
            </w:r>
          </w:p>
        </w:tc>
        <w:tc>
          <w:tcPr>
            <w:tcW w:w="761" w:type="dxa"/>
            <w:tcBorders>
              <w:left w:val="nil"/>
              <w:right w:val="nil"/>
            </w:tcBorders>
            <w:vAlign w:val="center"/>
          </w:tcPr>
          <w:p w14:paraId="3DFD95D2" w14:textId="5653946F"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0.695</w:t>
            </w:r>
          </w:p>
        </w:tc>
        <w:tc>
          <w:tcPr>
            <w:tcW w:w="761" w:type="dxa"/>
            <w:tcBorders>
              <w:left w:val="nil"/>
              <w:right w:val="nil"/>
            </w:tcBorders>
            <w:vAlign w:val="center"/>
          </w:tcPr>
          <w:p w14:paraId="44697E84"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1E277701" w14:textId="77777777" w:rsidR="004C0CC5" w:rsidRPr="00EC2ED0" w:rsidRDefault="004C0CC5" w:rsidP="004C0CC5">
            <w:pPr>
              <w:pStyle w:val="Subtitle"/>
              <w:rPr>
                <w:color w:val="000000" w:themeColor="text1"/>
                <w:spacing w:val="-2"/>
                <w:w w:val="98"/>
                <w:sz w:val="19"/>
                <w:szCs w:val="19"/>
              </w:rPr>
            </w:pPr>
          </w:p>
        </w:tc>
        <w:tc>
          <w:tcPr>
            <w:tcW w:w="761" w:type="dxa"/>
            <w:tcBorders>
              <w:left w:val="nil"/>
            </w:tcBorders>
            <w:vAlign w:val="center"/>
          </w:tcPr>
          <w:p w14:paraId="6B0D2E2A" w14:textId="77777777" w:rsidR="004C0CC5" w:rsidRPr="00EC2ED0" w:rsidRDefault="004C0CC5" w:rsidP="004C0CC5">
            <w:pPr>
              <w:pStyle w:val="Subtitle"/>
              <w:rPr>
                <w:color w:val="000000" w:themeColor="text1"/>
                <w:spacing w:val="-2"/>
                <w:w w:val="98"/>
                <w:sz w:val="19"/>
                <w:szCs w:val="19"/>
              </w:rPr>
            </w:pPr>
          </w:p>
        </w:tc>
      </w:tr>
      <w:tr w:rsidR="00EC2ED0" w:rsidRPr="00EC2ED0" w14:paraId="2744636C" w14:textId="77777777" w:rsidTr="00FA25F9">
        <w:tc>
          <w:tcPr>
            <w:tcW w:w="761" w:type="dxa"/>
            <w:tcBorders>
              <w:right w:val="nil"/>
            </w:tcBorders>
            <w:vAlign w:val="center"/>
          </w:tcPr>
          <w:p w14:paraId="63DD73BA" w14:textId="5F723B5E" w:rsidR="004C0CC5" w:rsidRPr="00EC2ED0" w:rsidRDefault="004C0CC5" w:rsidP="004C0CC5">
            <w:pPr>
              <w:pStyle w:val="Subtitle"/>
              <w:rPr>
                <w:color w:val="000000" w:themeColor="text1"/>
                <w:spacing w:val="-2"/>
                <w:w w:val="98"/>
                <w:sz w:val="19"/>
                <w:szCs w:val="19"/>
              </w:rPr>
            </w:pPr>
            <w:r w:rsidRPr="00EC2ED0">
              <w:rPr>
                <w:color w:val="000000" w:themeColor="text1"/>
              </w:rPr>
              <w:t>SAT1</w:t>
            </w:r>
          </w:p>
        </w:tc>
        <w:tc>
          <w:tcPr>
            <w:tcW w:w="761" w:type="dxa"/>
            <w:tcBorders>
              <w:left w:val="nil"/>
              <w:right w:val="nil"/>
            </w:tcBorders>
            <w:vAlign w:val="center"/>
          </w:tcPr>
          <w:p w14:paraId="41AD8069"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38240DD1" w14:textId="3C5C6535"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0.876</w:t>
            </w:r>
          </w:p>
        </w:tc>
        <w:tc>
          <w:tcPr>
            <w:tcW w:w="761" w:type="dxa"/>
            <w:tcBorders>
              <w:left w:val="nil"/>
              <w:right w:val="nil"/>
            </w:tcBorders>
            <w:vAlign w:val="center"/>
          </w:tcPr>
          <w:p w14:paraId="5A32E450" w14:textId="77777777" w:rsidR="004C0CC5" w:rsidRPr="00EC2ED0" w:rsidRDefault="004C0CC5" w:rsidP="004C0CC5">
            <w:pPr>
              <w:pStyle w:val="Subtitle"/>
              <w:rPr>
                <w:color w:val="000000" w:themeColor="text1"/>
                <w:spacing w:val="-2"/>
                <w:w w:val="98"/>
                <w:sz w:val="19"/>
                <w:szCs w:val="19"/>
              </w:rPr>
            </w:pPr>
          </w:p>
        </w:tc>
        <w:tc>
          <w:tcPr>
            <w:tcW w:w="761" w:type="dxa"/>
            <w:tcBorders>
              <w:left w:val="nil"/>
            </w:tcBorders>
            <w:vAlign w:val="center"/>
          </w:tcPr>
          <w:p w14:paraId="6D6DC5A6" w14:textId="77777777" w:rsidR="004C0CC5" w:rsidRPr="00EC2ED0" w:rsidRDefault="004C0CC5" w:rsidP="004C0CC5">
            <w:pPr>
              <w:pStyle w:val="Subtitle"/>
              <w:rPr>
                <w:color w:val="000000" w:themeColor="text1"/>
                <w:spacing w:val="-2"/>
                <w:w w:val="98"/>
                <w:sz w:val="19"/>
                <w:szCs w:val="19"/>
              </w:rPr>
            </w:pPr>
          </w:p>
        </w:tc>
      </w:tr>
      <w:tr w:rsidR="00EC2ED0" w:rsidRPr="00EC2ED0" w14:paraId="01B54DB4" w14:textId="77777777" w:rsidTr="00FA25F9">
        <w:tc>
          <w:tcPr>
            <w:tcW w:w="761" w:type="dxa"/>
            <w:tcBorders>
              <w:right w:val="nil"/>
            </w:tcBorders>
            <w:vAlign w:val="center"/>
          </w:tcPr>
          <w:p w14:paraId="05A6F24A" w14:textId="3FA376D9" w:rsidR="004C0CC5" w:rsidRPr="00EC2ED0" w:rsidRDefault="004C0CC5" w:rsidP="004C0CC5">
            <w:pPr>
              <w:pStyle w:val="Subtitle"/>
              <w:rPr>
                <w:color w:val="000000" w:themeColor="text1"/>
                <w:spacing w:val="-2"/>
                <w:w w:val="98"/>
                <w:sz w:val="19"/>
                <w:szCs w:val="19"/>
              </w:rPr>
            </w:pPr>
            <w:r w:rsidRPr="00EC2ED0">
              <w:rPr>
                <w:color w:val="000000" w:themeColor="text1"/>
              </w:rPr>
              <w:t>SAT5</w:t>
            </w:r>
          </w:p>
        </w:tc>
        <w:tc>
          <w:tcPr>
            <w:tcW w:w="761" w:type="dxa"/>
            <w:tcBorders>
              <w:left w:val="nil"/>
              <w:right w:val="nil"/>
            </w:tcBorders>
            <w:vAlign w:val="center"/>
          </w:tcPr>
          <w:p w14:paraId="70A9C25E"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3B9286E9" w14:textId="7D133F71"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0.854</w:t>
            </w:r>
          </w:p>
        </w:tc>
        <w:tc>
          <w:tcPr>
            <w:tcW w:w="761" w:type="dxa"/>
            <w:tcBorders>
              <w:left w:val="nil"/>
              <w:right w:val="nil"/>
            </w:tcBorders>
            <w:vAlign w:val="center"/>
          </w:tcPr>
          <w:p w14:paraId="7F4E6EBC" w14:textId="77777777" w:rsidR="004C0CC5" w:rsidRPr="00EC2ED0" w:rsidRDefault="004C0CC5" w:rsidP="004C0CC5">
            <w:pPr>
              <w:pStyle w:val="Subtitle"/>
              <w:rPr>
                <w:color w:val="000000" w:themeColor="text1"/>
                <w:spacing w:val="-2"/>
                <w:w w:val="98"/>
                <w:sz w:val="19"/>
                <w:szCs w:val="19"/>
              </w:rPr>
            </w:pPr>
          </w:p>
        </w:tc>
        <w:tc>
          <w:tcPr>
            <w:tcW w:w="761" w:type="dxa"/>
            <w:tcBorders>
              <w:left w:val="nil"/>
            </w:tcBorders>
            <w:vAlign w:val="center"/>
          </w:tcPr>
          <w:p w14:paraId="7EFB172E" w14:textId="77777777" w:rsidR="004C0CC5" w:rsidRPr="00EC2ED0" w:rsidRDefault="004C0CC5" w:rsidP="004C0CC5">
            <w:pPr>
              <w:pStyle w:val="Subtitle"/>
              <w:rPr>
                <w:color w:val="000000" w:themeColor="text1"/>
                <w:spacing w:val="-2"/>
                <w:w w:val="98"/>
                <w:sz w:val="19"/>
                <w:szCs w:val="19"/>
              </w:rPr>
            </w:pPr>
          </w:p>
        </w:tc>
      </w:tr>
      <w:tr w:rsidR="00EC2ED0" w:rsidRPr="00EC2ED0" w14:paraId="7C987FA0" w14:textId="77777777" w:rsidTr="00FA25F9">
        <w:tc>
          <w:tcPr>
            <w:tcW w:w="761" w:type="dxa"/>
            <w:tcBorders>
              <w:right w:val="nil"/>
            </w:tcBorders>
            <w:vAlign w:val="center"/>
          </w:tcPr>
          <w:p w14:paraId="2372ADF6" w14:textId="6675BF5F" w:rsidR="004C0CC5" w:rsidRPr="00EC2ED0" w:rsidRDefault="004C0CC5" w:rsidP="004C0CC5">
            <w:pPr>
              <w:pStyle w:val="Subtitle"/>
              <w:rPr>
                <w:color w:val="000000" w:themeColor="text1"/>
                <w:spacing w:val="-2"/>
                <w:w w:val="98"/>
                <w:sz w:val="19"/>
                <w:szCs w:val="19"/>
              </w:rPr>
            </w:pPr>
            <w:r w:rsidRPr="00EC2ED0">
              <w:rPr>
                <w:color w:val="000000" w:themeColor="text1"/>
              </w:rPr>
              <w:t>SAT3</w:t>
            </w:r>
          </w:p>
        </w:tc>
        <w:tc>
          <w:tcPr>
            <w:tcW w:w="761" w:type="dxa"/>
            <w:tcBorders>
              <w:left w:val="nil"/>
              <w:right w:val="nil"/>
            </w:tcBorders>
            <w:vAlign w:val="center"/>
          </w:tcPr>
          <w:p w14:paraId="0188795C"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6BA4715F" w14:textId="4E3B79F3"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0.832</w:t>
            </w:r>
          </w:p>
        </w:tc>
        <w:tc>
          <w:tcPr>
            <w:tcW w:w="761" w:type="dxa"/>
            <w:tcBorders>
              <w:left w:val="nil"/>
              <w:right w:val="nil"/>
            </w:tcBorders>
            <w:vAlign w:val="center"/>
          </w:tcPr>
          <w:p w14:paraId="1E9E3723" w14:textId="77777777" w:rsidR="004C0CC5" w:rsidRPr="00EC2ED0" w:rsidRDefault="004C0CC5" w:rsidP="004C0CC5">
            <w:pPr>
              <w:pStyle w:val="Subtitle"/>
              <w:rPr>
                <w:color w:val="000000" w:themeColor="text1"/>
                <w:spacing w:val="-2"/>
                <w:w w:val="98"/>
                <w:sz w:val="19"/>
                <w:szCs w:val="19"/>
              </w:rPr>
            </w:pPr>
          </w:p>
        </w:tc>
        <w:tc>
          <w:tcPr>
            <w:tcW w:w="761" w:type="dxa"/>
            <w:tcBorders>
              <w:left w:val="nil"/>
            </w:tcBorders>
            <w:vAlign w:val="center"/>
          </w:tcPr>
          <w:p w14:paraId="36B5EED7" w14:textId="77777777" w:rsidR="004C0CC5" w:rsidRPr="00EC2ED0" w:rsidRDefault="004C0CC5" w:rsidP="004C0CC5">
            <w:pPr>
              <w:pStyle w:val="Subtitle"/>
              <w:rPr>
                <w:color w:val="000000" w:themeColor="text1"/>
                <w:spacing w:val="-2"/>
                <w:w w:val="98"/>
                <w:sz w:val="19"/>
                <w:szCs w:val="19"/>
              </w:rPr>
            </w:pPr>
          </w:p>
        </w:tc>
      </w:tr>
      <w:tr w:rsidR="00EC2ED0" w:rsidRPr="00EC2ED0" w14:paraId="05C26342" w14:textId="77777777" w:rsidTr="00FA25F9">
        <w:tc>
          <w:tcPr>
            <w:tcW w:w="761" w:type="dxa"/>
            <w:tcBorders>
              <w:right w:val="nil"/>
            </w:tcBorders>
            <w:vAlign w:val="center"/>
          </w:tcPr>
          <w:p w14:paraId="01650EF2" w14:textId="5AC24255" w:rsidR="004C0CC5" w:rsidRPr="00EC2ED0" w:rsidRDefault="004C0CC5" w:rsidP="004C0CC5">
            <w:pPr>
              <w:pStyle w:val="Subtitle"/>
              <w:rPr>
                <w:color w:val="000000" w:themeColor="text1"/>
                <w:spacing w:val="-2"/>
                <w:w w:val="98"/>
                <w:sz w:val="19"/>
                <w:szCs w:val="19"/>
              </w:rPr>
            </w:pPr>
            <w:r w:rsidRPr="00EC2ED0">
              <w:rPr>
                <w:color w:val="000000" w:themeColor="text1"/>
              </w:rPr>
              <w:t>SAT4</w:t>
            </w:r>
          </w:p>
        </w:tc>
        <w:tc>
          <w:tcPr>
            <w:tcW w:w="761" w:type="dxa"/>
            <w:tcBorders>
              <w:left w:val="nil"/>
              <w:right w:val="nil"/>
            </w:tcBorders>
            <w:vAlign w:val="center"/>
          </w:tcPr>
          <w:p w14:paraId="1CFB0A18"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65BF0CB1" w14:textId="697795A9"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0.811</w:t>
            </w:r>
          </w:p>
        </w:tc>
        <w:tc>
          <w:tcPr>
            <w:tcW w:w="761" w:type="dxa"/>
            <w:tcBorders>
              <w:left w:val="nil"/>
              <w:right w:val="nil"/>
            </w:tcBorders>
            <w:vAlign w:val="center"/>
          </w:tcPr>
          <w:p w14:paraId="6D56BCB3" w14:textId="77777777" w:rsidR="004C0CC5" w:rsidRPr="00EC2ED0" w:rsidRDefault="004C0CC5" w:rsidP="004C0CC5">
            <w:pPr>
              <w:pStyle w:val="Subtitle"/>
              <w:rPr>
                <w:color w:val="000000" w:themeColor="text1"/>
                <w:spacing w:val="-2"/>
                <w:w w:val="98"/>
                <w:sz w:val="19"/>
                <w:szCs w:val="19"/>
              </w:rPr>
            </w:pPr>
          </w:p>
        </w:tc>
        <w:tc>
          <w:tcPr>
            <w:tcW w:w="761" w:type="dxa"/>
            <w:tcBorders>
              <w:left w:val="nil"/>
            </w:tcBorders>
            <w:vAlign w:val="center"/>
          </w:tcPr>
          <w:p w14:paraId="339211D2" w14:textId="77777777" w:rsidR="004C0CC5" w:rsidRPr="00EC2ED0" w:rsidRDefault="004C0CC5" w:rsidP="004C0CC5">
            <w:pPr>
              <w:pStyle w:val="Subtitle"/>
              <w:rPr>
                <w:color w:val="000000" w:themeColor="text1"/>
                <w:spacing w:val="-2"/>
                <w:w w:val="98"/>
                <w:sz w:val="19"/>
                <w:szCs w:val="19"/>
              </w:rPr>
            </w:pPr>
          </w:p>
        </w:tc>
      </w:tr>
      <w:tr w:rsidR="00EC2ED0" w:rsidRPr="00EC2ED0" w14:paraId="411CE8E2" w14:textId="77777777" w:rsidTr="00FA25F9">
        <w:tc>
          <w:tcPr>
            <w:tcW w:w="761" w:type="dxa"/>
            <w:tcBorders>
              <w:right w:val="nil"/>
            </w:tcBorders>
            <w:vAlign w:val="center"/>
          </w:tcPr>
          <w:p w14:paraId="0D6696C6" w14:textId="2BB56BFB" w:rsidR="004C0CC5" w:rsidRPr="00EC2ED0" w:rsidRDefault="004C0CC5" w:rsidP="004C0CC5">
            <w:pPr>
              <w:pStyle w:val="Subtitle"/>
              <w:rPr>
                <w:color w:val="000000" w:themeColor="text1"/>
                <w:spacing w:val="-2"/>
                <w:w w:val="98"/>
                <w:sz w:val="19"/>
                <w:szCs w:val="19"/>
              </w:rPr>
            </w:pPr>
            <w:r w:rsidRPr="00EC2ED0">
              <w:rPr>
                <w:color w:val="000000" w:themeColor="text1"/>
              </w:rPr>
              <w:t>SAT2</w:t>
            </w:r>
          </w:p>
        </w:tc>
        <w:tc>
          <w:tcPr>
            <w:tcW w:w="761" w:type="dxa"/>
            <w:tcBorders>
              <w:left w:val="nil"/>
              <w:right w:val="nil"/>
            </w:tcBorders>
            <w:vAlign w:val="center"/>
          </w:tcPr>
          <w:p w14:paraId="33B2DB75"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6F99F3D0" w14:textId="69FC5220"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0.798</w:t>
            </w:r>
          </w:p>
        </w:tc>
        <w:tc>
          <w:tcPr>
            <w:tcW w:w="761" w:type="dxa"/>
            <w:tcBorders>
              <w:left w:val="nil"/>
              <w:right w:val="nil"/>
            </w:tcBorders>
            <w:vAlign w:val="center"/>
          </w:tcPr>
          <w:p w14:paraId="002B6A61" w14:textId="77777777" w:rsidR="004C0CC5" w:rsidRPr="00EC2ED0" w:rsidRDefault="004C0CC5" w:rsidP="004C0CC5">
            <w:pPr>
              <w:pStyle w:val="Subtitle"/>
              <w:rPr>
                <w:color w:val="000000" w:themeColor="text1"/>
                <w:spacing w:val="-2"/>
                <w:w w:val="98"/>
                <w:sz w:val="19"/>
                <w:szCs w:val="19"/>
              </w:rPr>
            </w:pPr>
          </w:p>
        </w:tc>
        <w:tc>
          <w:tcPr>
            <w:tcW w:w="761" w:type="dxa"/>
            <w:tcBorders>
              <w:left w:val="nil"/>
            </w:tcBorders>
            <w:vAlign w:val="center"/>
          </w:tcPr>
          <w:p w14:paraId="1C9CA970" w14:textId="77777777" w:rsidR="004C0CC5" w:rsidRPr="00EC2ED0" w:rsidRDefault="004C0CC5" w:rsidP="004C0CC5">
            <w:pPr>
              <w:pStyle w:val="Subtitle"/>
              <w:rPr>
                <w:color w:val="000000" w:themeColor="text1"/>
                <w:spacing w:val="-2"/>
                <w:w w:val="98"/>
                <w:sz w:val="19"/>
                <w:szCs w:val="19"/>
              </w:rPr>
            </w:pPr>
          </w:p>
        </w:tc>
      </w:tr>
      <w:tr w:rsidR="00EC2ED0" w:rsidRPr="00EC2ED0" w14:paraId="31BB0D2F" w14:textId="77777777" w:rsidTr="00FA25F9">
        <w:tc>
          <w:tcPr>
            <w:tcW w:w="761" w:type="dxa"/>
            <w:tcBorders>
              <w:right w:val="nil"/>
            </w:tcBorders>
            <w:vAlign w:val="center"/>
          </w:tcPr>
          <w:p w14:paraId="0D1EFB00" w14:textId="0FE77C94" w:rsidR="004C0CC5" w:rsidRPr="00EC2ED0" w:rsidRDefault="004C0CC5" w:rsidP="004C0CC5">
            <w:pPr>
              <w:pStyle w:val="Subtitle"/>
              <w:rPr>
                <w:color w:val="000000" w:themeColor="text1"/>
                <w:spacing w:val="-2"/>
                <w:w w:val="98"/>
                <w:sz w:val="19"/>
                <w:szCs w:val="19"/>
              </w:rPr>
            </w:pPr>
            <w:r w:rsidRPr="00EC2ED0">
              <w:rPr>
                <w:color w:val="000000" w:themeColor="text1"/>
              </w:rPr>
              <w:t>DOC1</w:t>
            </w:r>
          </w:p>
        </w:tc>
        <w:tc>
          <w:tcPr>
            <w:tcW w:w="761" w:type="dxa"/>
            <w:tcBorders>
              <w:left w:val="nil"/>
              <w:right w:val="nil"/>
            </w:tcBorders>
            <w:vAlign w:val="center"/>
          </w:tcPr>
          <w:p w14:paraId="788FDAC1"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41C82150"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35B2D600" w14:textId="3EA30345"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0.865</w:t>
            </w:r>
          </w:p>
        </w:tc>
        <w:tc>
          <w:tcPr>
            <w:tcW w:w="761" w:type="dxa"/>
            <w:tcBorders>
              <w:left w:val="nil"/>
            </w:tcBorders>
            <w:vAlign w:val="center"/>
          </w:tcPr>
          <w:p w14:paraId="28C892F8" w14:textId="77777777" w:rsidR="004C0CC5" w:rsidRPr="00EC2ED0" w:rsidRDefault="004C0CC5" w:rsidP="004C0CC5">
            <w:pPr>
              <w:pStyle w:val="Subtitle"/>
              <w:rPr>
                <w:color w:val="000000" w:themeColor="text1"/>
                <w:spacing w:val="-2"/>
                <w:w w:val="98"/>
                <w:sz w:val="19"/>
                <w:szCs w:val="19"/>
              </w:rPr>
            </w:pPr>
          </w:p>
        </w:tc>
      </w:tr>
      <w:tr w:rsidR="00EC2ED0" w:rsidRPr="00EC2ED0" w14:paraId="68116EB5" w14:textId="77777777" w:rsidTr="00FA25F9">
        <w:tc>
          <w:tcPr>
            <w:tcW w:w="761" w:type="dxa"/>
            <w:tcBorders>
              <w:right w:val="nil"/>
            </w:tcBorders>
            <w:vAlign w:val="center"/>
          </w:tcPr>
          <w:p w14:paraId="6FF59CC9" w14:textId="0EC14F2D" w:rsidR="004C0CC5" w:rsidRPr="00EC2ED0" w:rsidRDefault="004C0CC5" w:rsidP="004C0CC5">
            <w:pPr>
              <w:pStyle w:val="Subtitle"/>
              <w:rPr>
                <w:color w:val="000000" w:themeColor="text1"/>
                <w:spacing w:val="-2"/>
                <w:w w:val="98"/>
                <w:sz w:val="19"/>
                <w:szCs w:val="19"/>
              </w:rPr>
            </w:pPr>
            <w:r w:rsidRPr="00EC2ED0">
              <w:rPr>
                <w:color w:val="000000" w:themeColor="text1"/>
              </w:rPr>
              <w:t>DOC2</w:t>
            </w:r>
          </w:p>
        </w:tc>
        <w:tc>
          <w:tcPr>
            <w:tcW w:w="761" w:type="dxa"/>
            <w:tcBorders>
              <w:left w:val="nil"/>
              <w:right w:val="nil"/>
            </w:tcBorders>
            <w:vAlign w:val="center"/>
          </w:tcPr>
          <w:p w14:paraId="3C8CCD9F"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00B91752"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57C04E00" w14:textId="29073469"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0.832</w:t>
            </w:r>
          </w:p>
        </w:tc>
        <w:tc>
          <w:tcPr>
            <w:tcW w:w="761" w:type="dxa"/>
            <w:tcBorders>
              <w:left w:val="nil"/>
            </w:tcBorders>
            <w:vAlign w:val="center"/>
          </w:tcPr>
          <w:p w14:paraId="077D2C19" w14:textId="77777777" w:rsidR="004C0CC5" w:rsidRPr="00EC2ED0" w:rsidRDefault="004C0CC5" w:rsidP="004C0CC5">
            <w:pPr>
              <w:pStyle w:val="Subtitle"/>
              <w:rPr>
                <w:color w:val="000000" w:themeColor="text1"/>
                <w:spacing w:val="-2"/>
                <w:w w:val="98"/>
                <w:sz w:val="19"/>
                <w:szCs w:val="19"/>
              </w:rPr>
            </w:pPr>
          </w:p>
        </w:tc>
      </w:tr>
      <w:tr w:rsidR="00EC2ED0" w:rsidRPr="00EC2ED0" w14:paraId="5D1BD4B8" w14:textId="77777777" w:rsidTr="00FA25F9">
        <w:tc>
          <w:tcPr>
            <w:tcW w:w="761" w:type="dxa"/>
            <w:tcBorders>
              <w:right w:val="nil"/>
            </w:tcBorders>
            <w:vAlign w:val="center"/>
          </w:tcPr>
          <w:p w14:paraId="7FD0F55C" w14:textId="1472696D" w:rsidR="004C0CC5" w:rsidRPr="00EC2ED0" w:rsidRDefault="004C0CC5" w:rsidP="004C0CC5">
            <w:pPr>
              <w:pStyle w:val="Subtitle"/>
              <w:rPr>
                <w:color w:val="000000" w:themeColor="text1"/>
                <w:spacing w:val="-2"/>
                <w:w w:val="98"/>
                <w:sz w:val="19"/>
                <w:szCs w:val="19"/>
              </w:rPr>
            </w:pPr>
            <w:r w:rsidRPr="00EC2ED0">
              <w:rPr>
                <w:color w:val="000000" w:themeColor="text1"/>
              </w:rPr>
              <w:t>DOC4</w:t>
            </w:r>
          </w:p>
        </w:tc>
        <w:tc>
          <w:tcPr>
            <w:tcW w:w="761" w:type="dxa"/>
            <w:tcBorders>
              <w:left w:val="nil"/>
              <w:right w:val="nil"/>
            </w:tcBorders>
            <w:vAlign w:val="center"/>
          </w:tcPr>
          <w:p w14:paraId="0E61C1F0"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5759BCDF"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28AFA90E" w14:textId="044346CE"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0.811</w:t>
            </w:r>
          </w:p>
        </w:tc>
        <w:tc>
          <w:tcPr>
            <w:tcW w:w="761" w:type="dxa"/>
            <w:tcBorders>
              <w:left w:val="nil"/>
            </w:tcBorders>
            <w:vAlign w:val="center"/>
          </w:tcPr>
          <w:p w14:paraId="75F54318" w14:textId="77777777" w:rsidR="004C0CC5" w:rsidRPr="00EC2ED0" w:rsidRDefault="004C0CC5" w:rsidP="004C0CC5">
            <w:pPr>
              <w:pStyle w:val="Subtitle"/>
              <w:rPr>
                <w:color w:val="000000" w:themeColor="text1"/>
                <w:spacing w:val="-2"/>
                <w:w w:val="98"/>
                <w:sz w:val="19"/>
                <w:szCs w:val="19"/>
              </w:rPr>
            </w:pPr>
          </w:p>
        </w:tc>
      </w:tr>
      <w:tr w:rsidR="00EC2ED0" w:rsidRPr="00EC2ED0" w14:paraId="25ACBE3A" w14:textId="77777777" w:rsidTr="00FA25F9">
        <w:tc>
          <w:tcPr>
            <w:tcW w:w="761" w:type="dxa"/>
            <w:tcBorders>
              <w:right w:val="nil"/>
            </w:tcBorders>
            <w:vAlign w:val="center"/>
          </w:tcPr>
          <w:p w14:paraId="0FBC915B" w14:textId="23FFF5E6" w:rsidR="004C0CC5" w:rsidRPr="00EC2ED0" w:rsidRDefault="004C0CC5" w:rsidP="004C0CC5">
            <w:pPr>
              <w:pStyle w:val="Subtitle"/>
              <w:rPr>
                <w:color w:val="000000" w:themeColor="text1"/>
                <w:spacing w:val="-2"/>
                <w:w w:val="98"/>
                <w:sz w:val="19"/>
                <w:szCs w:val="19"/>
              </w:rPr>
            </w:pPr>
            <w:r w:rsidRPr="00EC2ED0">
              <w:rPr>
                <w:color w:val="000000" w:themeColor="text1"/>
              </w:rPr>
              <w:t>DOC5</w:t>
            </w:r>
          </w:p>
        </w:tc>
        <w:tc>
          <w:tcPr>
            <w:tcW w:w="761" w:type="dxa"/>
            <w:tcBorders>
              <w:left w:val="nil"/>
              <w:right w:val="nil"/>
            </w:tcBorders>
            <w:vAlign w:val="center"/>
          </w:tcPr>
          <w:p w14:paraId="502102DC"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1D77919C"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0F19BF6D" w14:textId="2D8940B6"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0.776</w:t>
            </w:r>
          </w:p>
        </w:tc>
        <w:tc>
          <w:tcPr>
            <w:tcW w:w="761" w:type="dxa"/>
            <w:tcBorders>
              <w:left w:val="nil"/>
            </w:tcBorders>
            <w:vAlign w:val="center"/>
          </w:tcPr>
          <w:p w14:paraId="69D18373" w14:textId="77777777" w:rsidR="004C0CC5" w:rsidRPr="00EC2ED0" w:rsidRDefault="004C0CC5" w:rsidP="004C0CC5">
            <w:pPr>
              <w:pStyle w:val="Subtitle"/>
              <w:rPr>
                <w:color w:val="000000" w:themeColor="text1"/>
                <w:spacing w:val="-2"/>
                <w:w w:val="98"/>
                <w:sz w:val="19"/>
                <w:szCs w:val="19"/>
              </w:rPr>
            </w:pPr>
          </w:p>
        </w:tc>
      </w:tr>
      <w:tr w:rsidR="00EC2ED0" w:rsidRPr="00EC2ED0" w14:paraId="3A3A8F25" w14:textId="77777777" w:rsidTr="00FA25F9">
        <w:tc>
          <w:tcPr>
            <w:tcW w:w="761" w:type="dxa"/>
            <w:tcBorders>
              <w:right w:val="nil"/>
            </w:tcBorders>
            <w:vAlign w:val="center"/>
          </w:tcPr>
          <w:p w14:paraId="6F0A7CAD" w14:textId="05845CE3" w:rsidR="004C0CC5" w:rsidRPr="00EC2ED0" w:rsidRDefault="004C0CC5" w:rsidP="004C0CC5">
            <w:pPr>
              <w:pStyle w:val="Subtitle"/>
              <w:rPr>
                <w:color w:val="000000" w:themeColor="text1"/>
                <w:spacing w:val="-2"/>
                <w:w w:val="98"/>
                <w:sz w:val="19"/>
                <w:szCs w:val="19"/>
              </w:rPr>
            </w:pPr>
            <w:r w:rsidRPr="00EC2ED0">
              <w:rPr>
                <w:color w:val="000000" w:themeColor="text1"/>
              </w:rPr>
              <w:t>DOC3</w:t>
            </w:r>
          </w:p>
        </w:tc>
        <w:tc>
          <w:tcPr>
            <w:tcW w:w="761" w:type="dxa"/>
            <w:tcBorders>
              <w:left w:val="nil"/>
              <w:right w:val="nil"/>
            </w:tcBorders>
            <w:vAlign w:val="center"/>
          </w:tcPr>
          <w:p w14:paraId="005DEF3D"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2EAFAA56"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24268168" w14:textId="41EC30FA"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0.724</w:t>
            </w:r>
          </w:p>
        </w:tc>
        <w:tc>
          <w:tcPr>
            <w:tcW w:w="761" w:type="dxa"/>
            <w:tcBorders>
              <w:left w:val="nil"/>
            </w:tcBorders>
            <w:vAlign w:val="center"/>
          </w:tcPr>
          <w:p w14:paraId="743F44AD" w14:textId="77777777" w:rsidR="004C0CC5" w:rsidRPr="00EC2ED0" w:rsidRDefault="004C0CC5" w:rsidP="004C0CC5">
            <w:pPr>
              <w:pStyle w:val="Subtitle"/>
              <w:rPr>
                <w:color w:val="000000" w:themeColor="text1"/>
                <w:spacing w:val="-2"/>
                <w:w w:val="98"/>
                <w:sz w:val="19"/>
                <w:szCs w:val="19"/>
              </w:rPr>
            </w:pPr>
          </w:p>
        </w:tc>
      </w:tr>
      <w:tr w:rsidR="00EC2ED0" w:rsidRPr="00EC2ED0" w14:paraId="24618E15" w14:textId="77777777" w:rsidTr="00FA25F9">
        <w:tc>
          <w:tcPr>
            <w:tcW w:w="761" w:type="dxa"/>
            <w:tcBorders>
              <w:right w:val="nil"/>
            </w:tcBorders>
            <w:vAlign w:val="center"/>
          </w:tcPr>
          <w:p w14:paraId="7392404D" w14:textId="1D1FCFB9" w:rsidR="004C0CC5" w:rsidRPr="00EC2ED0" w:rsidRDefault="004C0CC5" w:rsidP="004C0CC5">
            <w:pPr>
              <w:pStyle w:val="Subtitle"/>
              <w:rPr>
                <w:color w:val="000000" w:themeColor="text1"/>
                <w:spacing w:val="-2"/>
                <w:w w:val="98"/>
                <w:sz w:val="19"/>
                <w:szCs w:val="19"/>
              </w:rPr>
            </w:pPr>
            <w:r w:rsidRPr="00EC2ED0">
              <w:rPr>
                <w:color w:val="000000" w:themeColor="text1"/>
              </w:rPr>
              <w:t>RE1</w:t>
            </w:r>
          </w:p>
        </w:tc>
        <w:tc>
          <w:tcPr>
            <w:tcW w:w="761" w:type="dxa"/>
            <w:tcBorders>
              <w:left w:val="nil"/>
              <w:right w:val="nil"/>
            </w:tcBorders>
            <w:vAlign w:val="center"/>
          </w:tcPr>
          <w:p w14:paraId="4CB9BD36"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0C9CA88C"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70FAB3DC" w14:textId="77777777" w:rsidR="004C0CC5" w:rsidRPr="00EC2ED0" w:rsidRDefault="004C0CC5" w:rsidP="004C0CC5">
            <w:pPr>
              <w:pStyle w:val="Subtitle"/>
              <w:rPr>
                <w:color w:val="000000" w:themeColor="text1"/>
                <w:spacing w:val="-2"/>
                <w:w w:val="98"/>
                <w:sz w:val="19"/>
                <w:szCs w:val="19"/>
              </w:rPr>
            </w:pPr>
          </w:p>
        </w:tc>
        <w:tc>
          <w:tcPr>
            <w:tcW w:w="761" w:type="dxa"/>
            <w:tcBorders>
              <w:left w:val="nil"/>
            </w:tcBorders>
            <w:vAlign w:val="center"/>
          </w:tcPr>
          <w:p w14:paraId="5CD2F72E" w14:textId="6870AB12"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0.798</w:t>
            </w:r>
          </w:p>
        </w:tc>
      </w:tr>
      <w:tr w:rsidR="00EC2ED0" w:rsidRPr="00EC2ED0" w14:paraId="2A912157" w14:textId="77777777" w:rsidTr="00FA25F9">
        <w:tc>
          <w:tcPr>
            <w:tcW w:w="761" w:type="dxa"/>
            <w:tcBorders>
              <w:right w:val="nil"/>
            </w:tcBorders>
            <w:vAlign w:val="center"/>
          </w:tcPr>
          <w:p w14:paraId="4D948475" w14:textId="455FBA97" w:rsidR="004C0CC5" w:rsidRPr="00EC2ED0" w:rsidRDefault="004C0CC5" w:rsidP="004C0CC5">
            <w:pPr>
              <w:pStyle w:val="Subtitle"/>
              <w:rPr>
                <w:color w:val="000000" w:themeColor="text1"/>
                <w:spacing w:val="-2"/>
                <w:w w:val="98"/>
                <w:sz w:val="19"/>
                <w:szCs w:val="19"/>
              </w:rPr>
            </w:pPr>
            <w:r w:rsidRPr="00EC2ED0">
              <w:rPr>
                <w:color w:val="000000" w:themeColor="text1"/>
              </w:rPr>
              <w:t>RE3</w:t>
            </w:r>
          </w:p>
        </w:tc>
        <w:tc>
          <w:tcPr>
            <w:tcW w:w="761" w:type="dxa"/>
            <w:tcBorders>
              <w:left w:val="nil"/>
              <w:right w:val="nil"/>
            </w:tcBorders>
            <w:vAlign w:val="center"/>
          </w:tcPr>
          <w:p w14:paraId="55AA6B9F"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05EF9AEA"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5416C8EA" w14:textId="77777777" w:rsidR="004C0CC5" w:rsidRPr="00EC2ED0" w:rsidRDefault="004C0CC5" w:rsidP="004C0CC5">
            <w:pPr>
              <w:pStyle w:val="Subtitle"/>
              <w:rPr>
                <w:color w:val="000000" w:themeColor="text1"/>
                <w:spacing w:val="-2"/>
                <w:w w:val="98"/>
                <w:sz w:val="19"/>
                <w:szCs w:val="19"/>
              </w:rPr>
            </w:pPr>
          </w:p>
        </w:tc>
        <w:tc>
          <w:tcPr>
            <w:tcW w:w="761" w:type="dxa"/>
            <w:tcBorders>
              <w:left w:val="nil"/>
            </w:tcBorders>
            <w:vAlign w:val="center"/>
          </w:tcPr>
          <w:p w14:paraId="0926A4E9" w14:textId="0485FFA9"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0.765</w:t>
            </w:r>
          </w:p>
        </w:tc>
      </w:tr>
      <w:tr w:rsidR="00EC2ED0" w:rsidRPr="00EC2ED0" w14:paraId="58AFDA8B" w14:textId="77777777" w:rsidTr="00FA25F9">
        <w:tc>
          <w:tcPr>
            <w:tcW w:w="761" w:type="dxa"/>
            <w:tcBorders>
              <w:right w:val="nil"/>
            </w:tcBorders>
            <w:vAlign w:val="center"/>
          </w:tcPr>
          <w:p w14:paraId="1CB8BDE8" w14:textId="23ADB0D7" w:rsidR="004C0CC5" w:rsidRPr="00EC2ED0" w:rsidRDefault="004C0CC5" w:rsidP="004C0CC5">
            <w:pPr>
              <w:pStyle w:val="Subtitle"/>
              <w:rPr>
                <w:color w:val="000000" w:themeColor="text1"/>
                <w:spacing w:val="-2"/>
                <w:w w:val="98"/>
                <w:sz w:val="19"/>
                <w:szCs w:val="19"/>
              </w:rPr>
            </w:pPr>
            <w:r w:rsidRPr="00EC2ED0">
              <w:rPr>
                <w:color w:val="000000" w:themeColor="text1"/>
              </w:rPr>
              <w:t>RE2</w:t>
            </w:r>
          </w:p>
        </w:tc>
        <w:tc>
          <w:tcPr>
            <w:tcW w:w="761" w:type="dxa"/>
            <w:tcBorders>
              <w:left w:val="nil"/>
              <w:right w:val="nil"/>
            </w:tcBorders>
            <w:vAlign w:val="center"/>
          </w:tcPr>
          <w:p w14:paraId="765A22B4"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7AF240C8"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3AAC405A" w14:textId="77777777" w:rsidR="004C0CC5" w:rsidRPr="00EC2ED0" w:rsidRDefault="004C0CC5" w:rsidP="004C0CC5">
            <w:pPr>
              <w:pStyle w:val="Subtitle"/>
              <w:rPr>
                <w:color w:val="000000" w:themeColor="text1"/>
                <w:spacing w:val="-2"/>
                <w:w w:val="98"/>
                <w:sz w:val="19"/>
                <w:szCs w:val="19"/>
              </w:rPr>
            </w:pPr>
          </w:p>
        </w:tc>
        <w:tc>
          <w:tcPr>
            <w:tcW w:w="761" w:type="dxa"/>
            <w:tcBorders>
              <w:left w:val="nil"/>
            </w:tcBorders>
            <w:vAlign w:val="center"/>
          </w:tcPr>
          <w:p w14:paraId="7D2D94BC" w14:textId="5965F5A8"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0.742</w:t>
            </w:r>
          </w:p>
        </w:tc>
      </w:tr>
      <w:tr w:rsidR="00EC2ED0" w:rsidRPr="00EC2ED0" w14:paraId="738EBDB5" w14:textId="77777777" w:rsidTr="00FA25F9">
        <w:tc>
          <w:tcPr>
            <w:tcW w:w="761" w:type="dxa"/>
            <w:tcBorders>
              <w:right w:val="nil"/>
            </w:tcBorders>
            <w:vAlign w:val="center"/>
          </w:tcPr>
          <w:p w14:paraId="6D5FF636" w14:textId="378E07CC" w:rsidR="004C0CC5" w:rsidRPr="00EC2ED0" w:rsidRDefault="004C0CC5" w:rsidP="004C0CC5">
            <w:pPr>
              <w:pStyle w:val="Subtitle"/>
              <w:rPr>
                <w:color w:val="000000" w:themeColor="text1"/>
                <w:spacing w:val="-2"/>
                <w:w w:val="98"/>
                <w:sz w:val="19"/>
                <w:szCs w:val="19"/>
              </w:rPr>
            </w:pPr>
            <w:r w:rsidRPr="00EC2ED0">
              <w:rPr>
                <w:color w:val="000000" w:themeColor="text1"/>
              </w:rPr>
              <w:t>RE5</w:t>
            </w:r>
          </w:p>
        </w:tc>
        <w:tc>
          <w:tcPr>
            <w:tcW w:w="761" w:type="dxa"/>
            <w:tcBorders>
              <w:left w:val="nil"/>
              <w:right w:val="nil"/>
            </w:tcBorders>
            <w:vAlign w:val="center"/>
          </w:tcPr>
          <w:p w14:paraId="15756F27"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5535F69F" w14:textId="77777777" w:rsidR="004C0CC5" w:rsidRPr="00EC2ED0" w:rsidRDefault="004C0CC5" w:rsidP="004C0CC5">
            <w:pPr>
              <w:pStyle w:val="Subtitle"/>
              <w:rPr>
                <w:color w:val="000000" w:themeColor="text1"/>
                <w:spacing w:val="-2"/>
                <w:w w:val="98"/>
                <w:sz w:val="19"/>
                <w:szCs w:val="19"/>
              </w:rPr>
            </w:pPr>
          </w:p>
        </w:tc>
        <w:tc>
          <w:tcPr>
            <w:tcW w:w="761" w:type="dxa"/>
            <w:tcBorders>
              <w:left w:val="nil"/>
              <w:right w:val="nil"/>
            </w:tcBorders>
            <w:vAlign w:val="center"/>
          </w:tcPr>
          <w:p w14:paraId="1243083B" w14:textId="77777777" w:rsidR="004C0CC5" w:rsidRPr="00EC2ED0" w:rsidRDefault="004C0CC5" w:rsidP="004C0CC5">
            <w:pPr>
              <w:pStyle w:val="Subtitle"/>
              <w:rPr>
                <w:color w:val="000000" w:themeColor="text1"/>
                <w:spacing w:val="-2"/>
                <w:w w:val="98"/>
                <w:sz w:val="19"/>
                <w:szCs w:val="19"/>
              </w:rPr>
            </w:pPr>
          </w:p>
        </w:tc>
        <w:tc>
          <w:tcPr>
            <w:tcW w:w="761" w:type="dxa"/>
            <w:tcBorders>
              <w:left w:val="nil"/>
            </w:tcBorders>
            <w:vAlign w:val="center"/>
          </w:tcPr>
          <w:p w14:paraId="309F8A70" w14:textId="5ECDE7D0"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0.689</w:t>
            </w:r>
          </w:p>
        </w:tc>
      </w:tr>
      <w:tr w:rsidR="00EC2ED0" w:rsidRPr="00EC2ED0" w14:paraId="68D572BE" w14:textId="77777777" w:rsidTr="00FA25F9">
        <w:tc>
          <w:tcPr>
            <w:tcW w:w="761" w:type="dxa"/>
            <w:tcBorders>
              <w:bottom w:val="single" w:sz="12" w:space="0" w:color="auto"/>
              <w:right w:val="nil"/>
            </w:tcBorders>
            <w:vAlign w:val="center"/>
          </w:tcPr>
          <w:p w14:paraId="4610AC7C" w14:textId="1C42F413" w:rsidR="004C0CC5" w:rsidRPr="00EC2ED0" w:rsidRDefault="004C0CC5" w:rsidP="004C0CC5">
            <w:pPr>
              <w:pStyle w:val="Subtitle"/>
              <w:rPr>
                <w:color w:val="000000" w:themeColor="text1"/>
                <w:spacing w:val="-2"/>
                <w:w w:val="98"/>
                <w:sz w:val="19"/>
                <w:szCs w:val="19"/>
              </w:rPr>
            </w:pPr>
            <w:r w:rsidRPr="00EC2ED0">
              <w:rPr>
                <w:color w:val="000000" w:themeColor="text1"/>
              </w:rPr>
              <w:t>RE4</w:t>
            </w:r>
          </w:p>
        </w:tc>
        <w:tc>
          <w:tcPr>
            <w:tcW w:w="761" w:type="dxa"/>
            <w:tcBorders>
              <w:left w:val="nil"/>
              <w:bottom w:val="single" w:sz="12" w:space="0" w:color="auto"/>
              <w:right w:val="nil"/>
            </w:tcBorders>
            <w:vAlign w:val="center"/>
          </w:tcPr>
          <w:p w14:paraId="08B5E1E6" w14:textId="77777777" w:rsidR="004C0CC5" w:rsidRPr="00EC2ED0" w:rsidRDefault="004C0CC5" w:rsidP="004C0CC5">
            <w:pPr>
              <w:pStyle w:val="Subtitle"/>
              <w:rPr>
                <w:color w:val="000000" w:themeColor="text1"/>
                <w:spacing w:val="-2"/>
                <w:w w:val="98"/>
                <w:sz w:val="19"/>
                <w:szCs w:val="19"/>
              </w:rPr>
            </w:pPr>
          </w:p>
        </w:tc>
        <w:tc>
          <w:tcPr>
            <w:tcW w:w="761" w:type="dxa"/>
            <w:tcBorders>
              <w:left w:val="nil"/>
              <w:bottom w:val="single" w:sz="12" w:space="0" w:color="auto"/>
              <w:right w:val="nil"/>
            </w:tcBorders>
            <w:vAlign w:val="center"/>
          </w:tcPr>
          <w:p w14:paraId="44A7E7A8" w14:textId="77777777" w:rsidR="004C0CC5" w:rsidRPr="00EC2ED0" w:rsidRDefault="004C0CC5" w:rsidP="004C0CC5">
            <w:pPr>
              <w:pStyle w:val="Subtitle"/>
              <w:rPr>
                <w:color w:val="000000" w:themeColor="text1"/>
                <w:spacing w:val="-2"/>
                <w:w w:val="98"/>
                <w:sz w:val="19"/>
                <w:szCs w:val="19"/>
              </w:rPr>
            </w:pPr>
          </w:p>
        </w:tc>
        <w:tc>
          <w:tcPr>
            <w:tcW w:w="761" w:type="dxa"/>
            <w:tcBorders>
              <w:left w:val="nil"/>
              <w:bottom w:val="single" w:sz="12" w:space="0" w:color="auto"/>
              <w:right w:val="nil"/>
            </w:tcBorders>
            <w:vAlign w:val="center"/>
          </w:tcPr>
          <w:p w14:paraId="786EED39" w14:textId="77777777" w:rsidR="004C0CC5" w:rsidRPr="00EC2ED0" w:rsidRDefault="004C0CC5" w:rsidP="004C0CC5">
            <w:pPr>
              <w:pStyle w:val="Subtitle"/>
              <w:rPr>
                <w:color w:val="000000" w:themeColor="text1"/>
                <w:spacing w:val="-2"/>
                <w:w w:val="98"/>
                <w:sz w:val="19"/>
                <w:szCs w:val="19"/>
              </w:rPr>
            </w:pPr>
          </w:p>
        </w:tc>
        <w:tc>
          <w:tcPr>
            <w:tcW w:w="761" w:type="dxa"/>
            <w:tcBorders>
              <w:left w:val="nil"/>
              <w:bottom w:val="single" w:sz="12" w:space="0" w:color="auto"/>
            </w:tcBorders>
            <w:vAlign w:val="center"/>
          </w:tcPr>
          <w:p w14:paraId="528F91B3" w14:textId="4F9A4AC1" w:rsidR="004C0CC5" w:rsidRPr="00EC2ED0" w:rsidRDefault="004C0CC5" w:rsidP="004C0CC5">
            <w:pPr>
              <w:pStyle w:val="Subtitle"/>
              <w:rPr>
                <w:color w:val="000000" w:themeColor="text1"/>
                <w:spacing w:val="-2"/>
                <w:w w:val="98"/>
                <w:sz w:val="19"/>
                <w:szCs w:val="19"/>
              </w:rPr>
            </w:pPr>
            <w:r w:rsidRPr="00EC2ED0">
              <w:rPr>
                <w:rStyle w:val="Strong"/>
                <w:b w:val="0"/>
                <w:bCs w:val="0"/>
                <w:color w:val="000000" w:themeColor="text1"/>
              </w:rPr>
              <w:t>0.654</w:t>
            </w:r>
          </w:p>
        </w:tc>
      </w:tr>
    </w:tbl>
    <w:p w14:paraId="03C1786F" w14:textId="30430209" w:rsidR="00DD059C" w:rsidRPr="00EC2ED0" w:rsidRDefault="008E595E" w:rsidP="00413B35">
      <w:pPr>
        <w:rPr>
          <w:rFonts w:eastAsia="함초롬바탕"/>
          <w:i/>
          <w:iCs/>
          <w:color w:val="000000" w:themeColor="text1"/>
          <w:spacing w:val="-2"/>
          <w:w w:val="98"/>
          <w:sz w:val="14"/>
          <w:szCs w:val="14"/>
        </w:rPr>
      </w:pPr>
      <w:r w:rsidRPr="00EC2ED0">
        <w:rPr>
          <w:rFonts w:eastAsia="함초롬바탕"/>
          <w:i/>
          <w:iCs/>
          <w:color w:val="000000" w:themeColor="text1"/>
          <w:spacing w:val="-2"/>
          <w:w w:val="98"/>
          <w:sz w:val="14"/>
          <w:szCs w:val="14"/>
        </w:rPr>
        <w:t>Factor loadings below 0.30 are suppressed for clarity.</w:t>
      </w:r>
    </w:p>
    <w:p w14:paraId="1F276C33" w14:textId="77777777" w:rsidR="00DD059C" w:rsidRPr="00EC2ED0" w:rsidRDefault="00DD059C" w:rsidP="00413B35">
      <w:pPr>
        <w:spacing w:line="360" w:lineRule="auto"/>
        <w:ind w:firstLine="284"/>
        <w:rPr>
          <w:rFonts w:eastAsia="함초롬바탕"/>
          <w:color w:val="000000" w:themeColor="text1"/>
          <w:spacing w:val="-2"/>
          <w:w w:val="98"/>
        </w:rPr>
      </w:pPr>
    </w:p>
    <w:p w14:paraId="74634C14" w14:textId="34F7F42B" w:rsidR="002822E5" w:rsidRPr="00EC2ED0" w:rsidRDefault="003C7100" w:rsidP="0088163B">
      <w:pPr>
        <w:pStyle w:val="Heading2"/>
        <w:ind w:right="-154"/>
        <w:rPr>
          <w:color w:val="000000" w:themeColor="text1"/>
          <w:w w:val="98"/>
        </w:rPr>
      </w:pPr>
      <w:r w:rsidRPr="00EC2ED0">
        <w:rPr>
          <w:color w:val="000000" w:themeColor="text1"/>
          <w:w w:val="98"/>
        </w:rPr>
        <w:t>C. Regression analysis and hypothesis testing</w:t>
      </w:r>
    </w:p>
    <w:p w14:paraId="3B63D973" w14:textId="1FD70F35" w:rsidR="002822E5" w:rsidRPr="00EC2ED0" w:rsidRDefault="002822E5" w:rsidP="007A1438">
      <w:pPr>
        <w:spacing w:line="338" w:lineRule="auto"/>
        <w:rPr>
          <w:rFonts w:eastAsia="함초롬바탕"/>
          <w:color w:val="000000" w:themeColor="text1"/>
          <w:spacing w:val="-2"/>
          <w:w w:val="98"/>
          <w:sz w:val="19"/>
          <w:szCs w:val="19"/>
        </w:rPr>
      </w:pPr>
    </w:p>
    <w:p w14:paraId="22758F6B" w14:textId="5B561447" w:rsidR="00C14EDD" w:rsidRPr="00EC2ED0" w:rsidRDefault="00C14EDD" w:rsidP="00C14EDD">
      <w:pPr>
        <w:pStyle w:val="Heading3"/>
        <w:rPr>
          <w:color w:val="000000" w:themeColor="text1"/>
          <w:w w:val="98"/>
          <w:lang/>
        </w:rPr>
      </w:pPr>
      <w:r w:rsidRPr="00EC2ED0">
        <w:rPr>
          <w:color w:val="000000" w:themeColor="text1"/>
          <w:w w:val="98"/>
          <w:lang/>
        </w:rPr>
        <w:t>OLS Assumption Diagnostics</w:t>
      </w:r>
    </w:p>
    <w:p w14:paraId="44E7DD42" w14:textId="77777777" w:rsidR="00C14EDD" w:rsidRPr="00EC2ED0" w:rsidRDefault="00C14EDD" w:rsidP="00C14EDD">
      <w:pPr>
        <w:spacing w:line="338" w:lineRule="auto"/>
        <w:ind w:firstLine="284"/>
        <w:rPr>
          <w:rFonts w:eastAsia="함초롬바탕"/>
          <w:color w:val="000000" w:themeColor="text1"/>
          <w:spacing w:val="-2"/>
          <w:w w:val="98"/>
          <w:sz w:val="19"/>
          <w:szCs w:val="19"/>
        </w:rPr>
      </w:pPr>
    </w:p>
    <w:p w14:paraId="07D5152A" w14:textId="4BB2B925" w:rsidR="00C14EDD" w:rsidRPr="00EC2ED0" w:rsidRDefault="00C14EDD" w:rsidP="00C14EDD">
      <w:pPr>
        <w:widowControl w:val="0"/>
        <w:wordWrap w:val="0"/>
        <w:autoSpaceDE w:val="0"/>
        <w:autoSpaceDN w:val="0"/>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Before hypothesis testing, regression assumptio</w:t>
      </w:r>
      <w:r w:rsidRPr="00EC2ED0">
        <w:rPr>
          <w:rFonts w:eastAsia="함초롬바탕"/>
          <w:color w:val="000000" w:themeColor="text1"/>
          <w:spacing w:val="-2"/>
          <w:w w:val="98"/>
          <w:sz w:val="19"/>
          <w:szCs w:val="19"/>
        </w:rPr>
        <w:t>ns were examined. Model reliability was therefore verified prior to interpretation.</w:t>
      </w:r>
    </w:p>
    <w:p w14:paraId="14998E21" w14:textId="77777777" w:rsidR="00C14EDD" w:rsidRPr="00EC2ED0" w:rsidRDefault="00C14EDD" w:rsidP="00C14EDD">
      <w:pPr>
        <w:widowControl w:val="0"/>
        <w:wordWrap w:val="0"/>
        <w:autoSpaceDE w:val="0"/>
        <w:autoSpaceDN w:val="0"/>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Multicollinearity was assessed using the Variance Inflation Factor (VIF). All predictor variables exhibited VIF values below 3.0. The highest VIF observed was 2.41. These values remain well below the conservative threshold of 5.0. Severe multicollinearity was therefore not indicated.</w:t>
      </w:r>
    </w:p>
    <w:p w14:paraId="61EE3F5C" w14:textId="019BC196" w:rsidR="00C14EDD" w:rsidRPr="00EC2ED0" w:rsidRDefault="00C14EDD" w:rsidP="00C14EDD">
      <w:pPr>
        <w:widowControl w:val="0"/>
        <w:wordWrap w:val="0"/>
        <w:autoSpaceDE w:val="0"/>
        <w:autoSpaceDN w:val="0"/>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Autocorrelation of residuals was evaluated using the Durbin</w:t>
      </w:r>
      <w:r w:rsidR="00B6641F" w:rsidRPr="00EC2ED0">
        <w:rPr>
          <w:rFonts w:eastAsia="함초롬바탕"/>
          <w:color w:val="000000" w:themeColor="text1"/>
          <w:spacing w:val="-2"/>
          <w:w w:val="98"/>
          <w:sz w:val="19"/>
          <w:szCs w:val="19"/>
        </w:rPr>
        <w:t>-</w:t>
      </w:r>
      <w:r w:rsidRPr="00EC2ED0">
        <w:rPr>
          <w:rFonts w:eastAsia="함초롬바탕"/>
          <w:color w:val="000000" w:themeColor="text1"/>
          <w:spacing w:val="-2"/>
          <w:w w:val="98"/>
          <w:sz w:val="19"/>
          <w:szCs w:val="19"/>
        </w:rPr>
        <w:t>Watson statistic. The obtained value was 1.98. This value falls within the acceptable range of 1.5 to 2.5. Residual independence was thus supported.</w:t>
      </w:r>
    </w:p>
    <w:p w14:paraId="0C018F2E" w14:textId="77777777" w:rsidR="00C14EDD" w:rsidRPr="00EC2ED0" w:rsidRDefault="00C14EDD" w:rsidP="00C14EDD">
      <w:pPr>
        <w:widowControl w:val="0"/>
        <w:wordWrap w:val="0"/>
        <w:autoSpaceDE w:val="0"/>
        <w:autoSpaceDN w:val="0"/>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Homoscedasticity and linearity were inspected using scatterplots of standardized residuals against standardized predicted values. The data points appeared randomly distributed around zero, with no distinct funnel shape or curvature detected. This pattern suggests that the assumptions of constant variance and linearity were met.</w:t>
      </w:r>
    </w:p>
    <w:p w14:paraId="30455029" w14:textId="6B017FF0" w:rsidR="004E3278" w:rsidRPr="00EC2ED0" w:rsidRDefault="00C14EDD" w:rsidP="00AD1C6B">
      <w:pPr>
        <w:widowControl w:val="0"/>
        <w:wordWrap w:val="0"/>
        <w:autoSpaceDE w:val="0"/>
        <w:autoSpaceDN w:val="0"/>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Potential outliers were examined using Cook’s distance. All observations displayed Cook’s distance values below 1.0. The maximum value observed was 0.34. No influential case exerted disproportionate impact on the regression estimates.</w:t>
      </w:r>
    </w:p>
    <w:p w14:paraId="421C23D4" w14:textId="77777777" w:rsidR="004E3278" w:rsidRPr="00EC2ED0" w:rsidRDefault="004E3278" w:rsidP="004E3278">
      <w:pPr>
        <w:spacing w:line="338" w:lineRule="auto"/>
        <w:ind w:firstLine="284"/>
        <w:rPr>
          <w:rFonts w:eastAsia="함초롬바탕"/>
          <w:color w:val="000000" w:themeColor="text1"/>
          <w:spacing w:val="-2"/>
          <w:w w:val="98"/>
          <w:sz w:val="19"/>
          <w:szCs w:val="19"/>
        </w:rPr>
      </w:pPr>
    </w:p>
    <w:p w14:paraId="7D36B027" w14:textId="04A8B7B9" w:rsidR="004E3278" w:rsidRPr="00EC2ED0" w:rsidRDefault="004E3278" w:rsidP="004E3278">
      <w:pPr>
        <w:pStyle w:val="Caption"/>
        <w:rPr>
          <w:color w:val="000000" w:themeColor="text1"/>
        </w:rPr>
      </w:pPr>
      <w:r w:rsidRPr="00EC2ED0">
        <w:rPr>
          <w:b/>
          <w:bCs/>
          <w:color w:val="000000" w:themeColor="text1"/>
        </w:rPr>
        <w:t xml:space="preserve">Table </w:t>
      </w:r>
      <w:r w:rsidRPr="00EC2ED0">
        <w:rPr>
          <w:b/>
          <w:bCs/>
          <w:color w:val="000000" w:themeColor="text1"/>
        </w:rPr>
        <w:fldChar w:fldCharType="begin"/>
      </w:r>
      <w:r w:rsidRPr="00EC2ED0">
        <w:rPr>
          <w:b/>
          <w:bCs/>
          <w:color w:val="000000" w:themeColor="text1"/>
        </w:rPr>
        <w:instrText xml:space="preserve"> SEQ Table \* ARABIC </w:instrText>
      </w:r>
      <w:r w:rsidRPr="00EC2ED0">
        <w:rPr>
          <w:b/>
          <w:bCs/>
          <w:color w:val="000000" w:themeColor="text1"/>
        </w:rPr>
        <w:fldChar w:fldCharType="separate"/>
      </w:r>
      <w:r w:rsidRPr="00EC2ED0">
        <w:rPr>
          <w:b/>
          <w:bCs/>
          <w:noProof/>
          <w:color w:val="000000" w:themeColor="text1"/>
        </w:rPr>
        <w:t>5</w:t>
      </w:r>
      <w:r w:rsidRPr="00EC2ED0">
        <w:rPr>
          <w:b/>
          <w:bCs/>
          <w:color w:val="000000" w:themeColor="text1"/>
        </w:rPr>
        <w:fldChar w:fldCharType="end"/>
      </w:r>
      <w:r w:rsidRPr="00EC2ED0">
        <w:rPr>
          <w:color w:val="000000" w:themeColor="text1"/>
        </w:rPr>
        <w:t xml:space="preserve">. </w:t>
      </w:r>
      <w:r w:rsidR="00A35FF4" w:rsidRPr="00EC2ED0">
        <w:rPr>
          <w:color w:val="000000" w:themeColor="text1"/>
        </w:rPr>
        <w:t>OLS assumption diagnostics</w:t>
      </w:r>
    </w:p>
    <w:tbl>
      <w:tblPr>
        <w:tblStyle w:val="TableGrid"/>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639"/>
        <w:gridCol w:w="595"/>
        <w:gridCol w:w="704"/>
        <w:gridCol w:w="777"/>
      </w:tblGrid>
      <w:tr w:rsidR="00EC2ED0" w:rsidRPr="00EC2ED0" w14:paraId="5F8DE799" w14:textId="77777777" w:rsidTr="008F34F9">
        <w:tc>
          <w:tcPr>
            <w:tcW w:w="1327" w:type="pct"/>
            <w:tcBorders>
              <w:top w:val="single" w:sz="12" w:space="0" w:color="auto"/>
              <w:bottom w:val="single" w:sz="12" w:space="0" w:color="auto"/>
            </w:tcBorders>
            <w:vAlign w:val="center"/>
          </w:tcPr>
          <w:p w14:paraId="34238C15"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Diagnostic Test</w:t>
            </w:r>
          </w:p>
        </w:tc>
        <w:tc>
          <w:tcPr>
            <w:tcW w:w="900" w:type="pct"/>
            <w:tcBorders>
              <w:top w:val="single" w:sz="12" w:space="0" w:color="auto"/>
              <w:bottom w:val="single" w:sz="12" w:space="0" w:color="auto"/>
            </w:tcBorders>
            <w:vAlign w:val="center"/>
          </w:tcPr>
          <w:p w14:paraId="52C1C7FC"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Indicator</w:t>
            </w:r>
          </w:p>
        </w:tc>
        <w:tc>
          <w:tcPr>
            <w:tcW w:w="794" w:type="pct"/>
            <w:tcBorders>
              <w:top w:val="single" w:sz="12" w:space="0" w:color="auto"/>
              <w:bottom w:val="single" w:sz="12" w:space="0" w:color="auto"/>
            </w:tcBorders>
            <w:vAlign w:val="center"/>
          </w:tcPr>
          <w:p w14:paraId="6F21FDE3"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Result</w:t>
            </w:r>
          </w:p>
        </w:tc>
        <w:tc>
          <w:tcPr>
            <w:tcW w:w="958" w:type="pct"/>
            <w:tcBorders>
              <w:top w:val="single" w:sz="12" w:space="0" w:color="auto"/>
              <w:bottom w:val="single" w:sz="12" w:space="0" w:color="auto"/>
            </w:tcBorders>
            <w:vAlign w:val="center"/>
          </w:tcPr>
          <w:p w14:paraId="0615EA86"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Threshold</w:t>
            </w:r>
          </w:p>
        </w:tc>
        <w:tc>
          <w:tcPr>
            <w:tcW w:w="1021" w:type="pct"/>
            <w:tcBorders>
              <w:top w:val="single" w:sz="12" w:space="0" w:color="auto"/>
              <w:bottom w:val="single" w:sz="12" w:space="0" w:color="auto"/>
            </w:tcBorders>
            <w:vAlign w:val="center"/>
          </w:tcPr>
          <w:p w14:paraId="11D2D04D"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Conclusion</w:t>
            </w:r>
          </w:p>
        </w:tc>
      </w:tr>
      <w:tr w:rsidR="00EC2ED0" w:rsidRPr="00EC2ED0" w14:paraId="63A27E61" w14:textId="77777777" w:rsidTr="008F34F9">
        <w:tc>
          <w:tcPr>
            <w:tcW w:w="1327" w:type="pct"/>
            <w:tcBorders>
              <w:top w:val="single" w:sz="12" w:space="0" w:color="auto"/>
            </w:tcBorders>
            <w:vAlign w:val="center"/>
          </w:tcPr>
          <w:p w14:paraId="61FAB950"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Multicollinearity</w:t>
            </w:r>
          </w:p>
        </w:tc>
        <w:tc>
          <w:tcPr>
            <w:tcW w:w="900" w:type="pct"/>
            <w:tcBorders>
              <w:top w:val="single" w:sz="12" w:space="0" w:color="auto"/>
            </w:tcBorders>
            <w:vAlign w:val="center"/>
          </w:tcPr>
          <w:p w14:paraId="6AA41F02"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VIF (max)</w:t>
            </w:r>
          </w:p>
        </w:tc>
        <w:tc>
          <w:tcPr>
            <w:tcW w:w="794" w:type="pct"/>
            <w:tcBorders>
              <w:top w:val="single" w:sz="12" w:space="0" w:color="auto"/>
            </w:tcBorders>
            <w:vAlign w:val="center"/>
          </w:tcPr>
          <w:p w14:paraId="35466D9D"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2.41</w:t>
            </w:r>
          </w:p>
        </w:tc>
        <w:tc>
          <w:tcPr>
            <w:tcW w:w="958" w:type="pct"/>
            <w:tcBorders>
              <w:top w:val="single" w:sz="12" w:space="0" w:color="auto"/>
            </w:tcBorders>
            <w:vAlign w:val="center"/>
          </w:tcPr>
          <w:p w14:paraId="69E7EA5D"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&lt; 5.0</w:t>
            </w:r>
          </w:p>
        </w:tc>
        <w:tc>
          <w:tcPr>
            <w:tcW w:w="1021" w:type="pct"/>
            <w:tcBorders>
              <w:top w:val="single" w:sz="12" w:space="0" w:color="auto"/>
            </w:tcBorders>
            <w:vAlign w:val="center"/>
          </w:tcPr>
          <w:p w14:paraId="0116D2D2"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Acceptable</w:t>
            </w:r>
          </w:p>
        </w:tc>
      </w:tr>
      <w:tr w:rsidR="00EC2ED0" w:rsidRPr="00EC2ED0" w14:paraId="08F321D0" w14:textId="77777777" w:rsidTr="008F34F9">
        <w:tc>
          <w:tcPr>
            <w:tcW w:w="1327" w:type="pct"/>
            <w:vAlign w:val="center"/>
          </w:tcPr>
          <w:p w14:paraId="6BD74300"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Autocorrelation</w:t>
            </w:r>
          </w:p>
        </w:tc>
        <w:tc>
          <w:tcPr>
            <w:tcW w:w="900" w:type="pct"/>
            <w:vAlign w:val="center"/>
          </w:tcPr>
          <w:p w14:paraId="3C3254A8"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Durbin–Watson</w:t>
            </w:r>
          </w:p>
        </w:tc>
        <w:tc>
          <w:tcPr>
            <w:tcW w:w="794" w:type="pct"/>
            <w:vAlign w:val="center"/>
          </w:tcPr>
          <w:p w14:paraId="71E67C08"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1.98</w:t>
            </w:r>
          </w:p>
        </w:tc>
        <w:tc>
          <w:tcPr>
            <w:tcW w:w="958" w:type="pct"/>
            <w:vAlign w:val="center"/>
          </w:tcPr>
          <w:p w14:paraId="3231384B"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1.5–2.5</w:t>
            </w:r>
          </w:p>
        </w:tc>
        <w:tc>
          <w:tcPr>
            <w:tcW w:w="1021" w:type="pct"/>
            <w:vAlign w:val="center"/>
          </w:tcPr>
          <w:p w14:paraId="2549529D"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Acceptable</w:t>
            </w:r>
          </w:p>
        </w:tc>
      </w:tr>
      <w:tr w:rsidR="00EC2ED0" w:rsidRPr="00EC2ED0" w14:paraId="37F96582" w14:textId="77777777" w:rsidTr="008F34F9">
        <w:tc>
          <w:tcPr>
            <w:tcW w:w="1327" w:type="pct"/>
            <w:vAlign w:val="center"/>
          </w:tcPr>
          <w:p w14:paraId="7264D4B1"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Influential cases</w:t>
            </w:r>
          </w:p>
        </w:tc>
        <w:tc>
          <w:tcPr>
            <w:tcW w:w="900" w:type="pct"/>
            <w:vAlign w:val="center"/>
          </w:tcPr>
          <w:p w14:paraId="214089FB"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Cook’s Distance (max)</w:t>
            </w:r>
          </w:p>
        </w:tc>
        <w:tc>
          <w:tcPr>
            <w:tcW w:w="794" w:type="pct"/>
            <w:vAlign w:val="center"/>
          </w:tcPr>
          <w:p w14:paraId="43FA2971"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0.34</w:t>
            </w:r>
          </w:p>
        </w:tc>
        <w:tc>
          <w:tcPr>
            <w:tcW w:w="958" w:type="pct"/>
            <w:vAlign w:val="center"/>
          </w:tcPr>
          <w:p w14:paraId="6F14A3EC"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&lt; 1.0</w:t>
            </w:r>
          </w:p>
        </w:tc>
        <w:tc>
          <w:tcPr>
            <w:tcW w:w="1021" w:type="pct"/>
            <w:vAlign w:val="center"/>
          </w:tcPr>
          <w:p w14:paraId="05E186B4"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Acceptable</w:t>
            </w:r>
          </w:p>
        </w:tc>
      </w:tr>
      <w:tr w:rsidR="004E3278" w:rsidRPr="00EC2ED0" w14:paraId="23262E23" w14:textId="77777777" w:rsidTr="008F34F9">
        <w:tc>
          <w:tcPr>
            <w:tcW w:w="1327" w:type="pct"/>
            <w:vAlign w:val="center"/>
          </w:tcPr>
          <w:p w14:paraId="75B7F5F4"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Residual normality</w:t>
            </w:r>
          </w:p>
        </w:tc>
        <w:tc>
          <w:tcPr>
            <w:tcW w:w="900" w:type="pct"/>
            <w:vAlign w:val="center"/>
          </w:tcPr>
          <w:p w14:paraId="2D6387A7"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P–P Plot</w:t>
            </w:r>
          </w:p>
        </w:tc>
        <w:tc>
          <w:tcPr>
            <w:tcW w:w="794" w:type="pct"/>
            <w:vAlign w:val="center"/>
          </w:tcPr>
          <w:p w14:paraId="5E57EECD"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Approx. normal</w:t>
            </w:r>
          </w:p>
        </w:tc>
        <w:tc>
          <w:tcPr>
            <w:tcW w:w="958" w:type="pct"/>
            <w:vAlign w:val="center"/>
          </w:tcPr>
          <w:p w14:paraId="6E712635"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Visual check</w:t>
            </w:r>
          </w:p>
        </w:tc>
        <w:tc>
          <w:tcPr>
            <w:tcW w:w="1021" w:type="pct"/>
            <w:vAlign w:val="center"/>
          </w:tcPr>
          <w:p w14:paraId="05D3A323" w14:textId="77777777" w:rsidR="004E3278" w:rsidRPr="00EC2ED0" w:rsidRDefault="004E3278" w:rsidP="001041A7">
            <w:pPr>
              <w:ind w:left="-112" w:right="-141"/>
              <w:jc w:val="center"/>
              <w:rPr>
                <w:color w:val="000000" w:themeColor="text1"/>
                <w:sz w:val="16"/>
                <w:szCs w:val="16"/>
              </w:rPr>
            </w:pPr>
            <w:r w:rsidRPr="00EC2ED0">
              <w:rPr>
                <w:color w:val="000000" w:themeColor="text1"/>
                <w:sz w:val="16"/>
                <w:szCs w:val="16"/>
              </w:rPr>
              <w:t>Acceptable</w:t>
            </w:r>
          </w:p>
        </w:tc>
      </w:tr>
    </w:tbl>
    <w:p w14:paraId="32E1080E" w14:textId="77777777" w:rsidR="005F7FC5" w:rsidRPr="00EC2ED0" w:rsidRDefault="005F7FC5" w:rsidP="001041A7">
      <w:pPr>
        <w:spacing w:line="338" w:lineRule="auto"/>
        <w:rPr>
          <w:rFonts w:eastAsia="함초롬바탕"/>
          <w:color w:val="000000" w:themeColor="text1"/>
          <w:spacing w:val="-2"/>
          <w:w w:val="98"/>
          <w:sz w:val="2"/>
          <w:szCs w:val="2"/>
        </w:rPr>
      </w:pPr>
    </w:p>
    <w:p w14:paraId="73F62E34" w14:textId="77777777" w:rsidR="00AD1C6B" w:rsidRPr="00EC2ED0" w:rsidRDefault="00AD1C6B" w:rsidP="00AD1C6B">
      <w:pPr>
        <w:widowControl w:val="0"/>
        <w:wordWrap w:val="0"/>
        <w:autoSpaceDE w:val="0"/>
        <w:autoSpaceDN w:val="0"/>
        <w:spacing w:line="338" w:lineRule="auto"/>
        <w:ind w:firstLine="284"/>
        <w:jc w:val="both"/>
        <w:rPr>
          <w:rFonts w:eastAsia="함초롬바탕"/>
          <w:color w:val="000000" w:themeColor="text1"/>
          <w:spacing w:val="-2"/>
          <w:w w:val="98"/>
          <w:sz w:val="19"/>
          <w:szCs w:val="19"/>
        </w:rPr>
      </w:pPr>
    </w:p>
    <w:p w14:paraId="33960DE1" w14:textId="2E1197B8" w:rsidR="00AD1C6B" w:rsidRPr="00EC2ED0" w:rsidRDefault="00AD1C6B" w:rsidP="00AD1C6B">
      <w:pPr>
        <w:widowControl w:val="0"/>
        <w:wordWrap w:val="0"/>
        <w:autoSpaceDE w:val="0"/>
        <w:autoSpaceDN w:val="0"/>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Normality of residuals was inspected visually. A normal probability (P-P) plot was examined. The residual distribution approximated the diagonal reference line. Histogram inspection also indicated approximate symmetry. Severe deviation from normality was not observed.</w:t>
      </w:r>
    </w:p>
    <w:p w14:paraId="0369CDAF" w14:textId="1E9F359A" w:rsidR="00176B00" w:rsidRPr="00EC2ED0" w:rsidRDefault="00AD1C6B" w:rsidP="00AD1C6B">
      <w:pPr>
        <w:pStyle w:val="NoSpacing"/>
        <w:rPr>
          <w:color w:val="000000" w:themeColor="text1"/>
        </w:rPr>
      </w:pPr>
      <w:r w:rsidRPr="00EC2ED0">
        <w:rPr>
          <w:color w:val="000000" w:themeColor="text1"/>
        </w:rPr>
        <w:t xml:space="preserve">Taken together, these diagnostics confirm that OLS assumptions were adequately satisfied. The </w:t>
      </w:r>
      <w:r w:rsidRPr="00EC2ED0">
        <w:rPr>
          <w:color w:val="000000" w:themeColor="text1"/>
        </w:rPr>
        <w:lastRenderedPageBreak/>
        <w:t>regression estimates can therefore be interpreted with confidence (Table 5).</w:t>
      </w:r>
    </w:p>
    <w:p w14:paraId="665D8DB0" w14:textId="77777777" w:rsidR="00AD1C6B" w:rsidRPr="00EC2ED0" w:rsidRDefault="00AD1C6B" w:rsidP="00AD1C6B">
      <w:pPr>
        <w:pStyle w:val="NoSpacing"/>
        <w:rPr>
          <w:color w:val="000000" w:themeColor="text1"/>
        </w:rPr>
      </w:pPr>
    </w:p>
    <w:p w14:paraId="54F0ACBF" w14:textId="77777777" w:rsidR="00176B00" w:rsidRPr="00EC2ED0" w:rsidRDefault="00176B00" w:rsidP="00176B00">
      <w:pPr>
        <w:pStyle w:val="Heading3"/>
        <w:rPr>
          <w:color w:val="000000" w:themeColor="text1"/>
        </w:rPr>
      </w:pPr>
      <w:r w:rsidRPr="00EC2ED0">
        <w:rPr>
          <w:color w:val="000000" w:themeColor="text1"/>
        </w:rPr>
        <w:t>Model Fit Assessment</w:t>
      </w:r>
    </w:p>
    <w:p w14:paraId="409B90E8" w14:textId="77777777" w:rsidR="00176B00" w:rsidRPr="00EC2ED0" w:rsidRDefault="00176B00" w:rsidP="00176B00">
      <w:pPr>
        <w:pStyle w:val="NoSpacing"/>
        <w:rPr>
          <w:color w:val="000000" w:themeColor="text1"/>
        </w:rPr>
      </w:pPr>
    </w:p>
    <w:p w14:paraId="7AA10B5A" w14:textId="4B44DD09" w:rsidR="00176B00" w:rsidRPr="00EC2ED0" w:rsidRDefault="00176B00" w:rsidP="00811D41">
      <w:pPr>
        <w:pStyle w:val="NoSpacing"/>
        <w:rPr>
          <w:color w:val="000000" w:themeColor="text1"/>
        </w:rPr>
      </w:pPr>
      <w:r w:rsidRPr="00EC2ED0">
        <w:rPr>
          <w:color w:val="000000" w:themeColor="text1"/>
        </w:rPr>
        <w:t xml:space="preserve">The overall goodness-of-fit of the regression model was first evaluated. The results indicate that the proposed model explains a substantial proportion of the variance in Customer Satisfaction, with an Adjusted </w:t>
      </w:r>
      <w:r w:rsidRPr="00EC2ED0">
        <w:rPr>
          <w:rFonts w:eastAsia="Times New Roman"/>
          <w:i/>
          <w:iCs/>
          <w:color w:val="000000" w:themeColor="text1"/>
        </w:rPr>
        <w:t>R</w:t>
      </w:r>
      <w:r w:rsidR="00C877EA" w:rsidRPr="00EC2ED0">
        <w:rPr>
          <w:rFonts w:eastAsia="Times New Roman"/>
          <w:color w:val="000000" w:themeColor="text1"/>
          <w:vertAlign w:val="superscript"/>
        </w:rPr>
        <w:t>2</w:t>
      </w:r>
      <w:r w:rsidRPr="00EC2ED0">
        <w:rPr>
          <w:color w:val="000000" w:themeColor="text1"/>
        </w:rPr>
        <w:t xml:space="preserve"> of 0.788. The F-test result was statistically significant (F = 92.553, p &lt; 0.001), confirming that the proposed model fits the data well.</w:t>
      </w:r>
    </w:p>
    <w:p w14:paraId="432BEAB8" w14:textId="77777777" w:rsidR="00176B00" w:rsidRPr="00EC2ED0" w:rsidRDefault="00176B00" w:rsidP="00176B00">
      <w:pPr>
        <w:rPr>
          <w:color w:val="000000" w:themeColor="text1"/>
          <w:lang w:eastAsia="ko-KR"/>
        </w:rPr>
      </w:pPr>
    </w:p>
    <w:p w14:paraId="15D4E471" w14:textId="1AA9E959" w:rsidR="006B62F1" w:rsidRPr="00EC2ED0" w:rsidRDefault="00B4241D" w:rsidP="006B62F1">
      <w:pPr>
        <w:pStyle w:val="Heading3"/>
        <w:rPr>
          <w:color w:val="000000" w:themeColor="text1"/>
          <w:w w:val="98"/>
          <w:lang/>
        </w:rPr>
      </w:pPr>
      <w:r w:rsidRPr="00EC2ED0">
        <w:rPr>
          <w:color w:val="000000" w:themeColor="text1"/>
          <w:w w:val="98"/>
          <w:lang/>
        </w:rPr>
        <w:t>Regression results and Hypothesis testing</w:t>
      </w:r>
    </w:p>
    <w:p w14:paraId="751AA7F2" w14:textId="77777777" w:rsidR="00176B00" w:rsidRPr="00EC2ED0" w:rsidRDefault="00176B00" w:rsidP="00176B00">
      <w:pPr>
        <w:spacing w:line="338" w:lineRule="auto"/>
        <w:jc w:val="both"/>
        <w:rPr>
          <w:rFonts w:eastAsia="함초롬바탕"/>
          <w:color w:val="000000" w:themeColor="text1"/>
          <w:spacing w:val="-2"/>
          <w:w w:val="98"/>
          <w:sz w:val="19"/>
          <w:szCs w:val="19"/>
        </w:rPr>
      </w:pPr>
    </w:p>
    <w:p w14:paraId="3A92D456" w14:textId="39FE8AAB" w:rsidR="000923A3" w:rsidRPr="00EC2ED0" w:rsidRDefault="00980A9F" w:rsidP="00980A9F">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 xml:space="preserve">The regression and bootstrap results are presented in Table </w:t>
      </w:r>
      <w:r w:rsidR="00C43A3E" w:rsidRPr="00EC2ED0">
        <w:rPr>
          <w:rFonts w:eastAsia="함초롬바탕"/>
          <w:color w:val="000000" w:themeColor="text1"/>
          <w:spacing w:val="-2"/>
          <w:w w:val="98"/>
          <w:sz w:val="19"/>
          <w:szCs w:val="19"/>
        </w:rPr>
        <w:t>6</w:t>
      </w:r>
      <w:r w:rsidRPr="00EC2ED0">
        <w:rPr>
          <w:rFonts w:eastAsia="함초롬바탕"/>
          <w:color w:val="000000" w:themeColor="text1"/>
          <w:spacing w:val="-2"/>
          <w:w w:val="98"/>
          <w:sz w:val="19"/>
          <w:szCs w:val="19"/>
        </w:rPr>
        <w:t>.</w:t>
      </w:r>
      <w:r w:rsidR="00097F10" w:rsidRPr="00EC2ED0">
        <w:rPr>
          <w:rFonts w:eastAsia="함초롬바탕"/>
          <w:color w:val="000000" w:themeColor="text1"/>
          <w:spacing w:val="-2"/>
          <w:w w:val="98"/>
          <w:sz w:val="19"/>
          <w:szCs w:val="19"/>
        </w:rPr>
        <w:t xml:space="preserve"> The component paths were first </w:t>
      </w:r>
      <w:r w:rsidR="00097F10" w:rsidRPr="00EC2ED0">
        <w:rPr>
          <w:rFonts w:eastAsia="함초롬바탕"/>
          <w:color w:val="000000" w:themeColor="text1"/>
          <w:spacing w:val="-2"/>
          <w:w w:val="98"/>
          <w:sz w:val="19"/>
          <w:szCs w:val="19"/>
        </w:rPr>
        <w:t>examined. Service Reliability (RE) showed a strong positive association with both mediators. RE significantly influenced Employee Competence (EMP) (B = 0.452, t = 5.136, p &lt; 0.001). RE also significantly influenced Documentation Efficiency (DOC) (B = 0.512, t = 6.736, p &lt; 0.001). Therefore, H2 and H5 are supported.</w:t>
      </w:r>
    </w:p>
    <w:p w14:paraId="3366DBB0" w14:textId="2DE8B7DE" w:rsidR="005F7FC5" w:rsidRPr="00EC2ED0" w:rsidRDefault="000923A3" w:rsidP="00980A9F">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Both mediators were then examined in relation to Customer Satisfaction (SAT). Employee Competence had a significant positive effect on SAT (B = 0.385, t = 4.184, p &lt; 0.001). Documentation Efficiency also showed a significant positive effect (B = 0.298, t = 3.547, p &lt; 0.01). Thus, H3 and H6 are supported. These findings confirm that execution mechanisms contribute directly to post-execution evaluation.</w:t>
      </w:r>
      <w:r w:rsidR="001A132F" w:rsidRPr="00EC2ED0">
        <w:rPr>
          <w:rFonts w:eastAsia="함초롬바탕"/>
          <w:color w:val="000000" w:themeColor="text1"/>
          <w:spacing w:val="-2"/>
          <w:w w:val="98"/>
          <w:sz w:val="19"/>
          <w:szCs w:val="19"/>
        </w:rPr>
        <w:t xml:space="preserve"> </w:t>
      </w:r>
      <w:r w:rsidR="00980A9F" w:rsidRPr="00EC2ED0">
        <w:rPr>
          <w:rFonts w:eastAsia="함초롬바탕"/>
          <w:color w:val="000000" w:themeColor="text1"/>
          <w:spacing w:val="-2"/>
          <w:w w:val="98"/>
          <w:sz w:val="19"/>
          <w:szCs w:val="19"/>
        </w:rPr>
        <w:t xml:space="preserve"> </w:t>
      </w:r>
    </w:p>
    <w:p w14:paraId="718428B2" w14:textId="77777777" w:rsidR="00C11D03" w:rsidRPr="00EC2ED0" w:rsidRDefault="00C11D03" w:rsidP="00980A9F">
      <w:pPr>
        <w:spacing w:line="338" w:lineRule="auto"/>
        <w:ind w:firstLine="284"/>
        <w:jc w:val="both"/>
        <w:rPr>
          <w:rFonts w:eastAsia="함초롬바탕"/>
          <w:color w:val="000000" w:themeColor="text1"/>
          <w:spacing w:val="-2"/>
          <w:w w:val="98"/>
          <w:sz w:val="19"/>
          <w:szCs w:val="19"/>
        </w:rPr>
        <w:sectPr w:rsidR="00C11D03" w:rsidRPr="00EC2ED0" w:rsidSect="000D408E">
          <w:type w:val="continuous"/>
          <w:pgSz w:w="10438" w:h="15122" w:code="7"/>
          <w:pgMar w:top="1021" w:right="1191" w:bottom="964" w:left="1191" w:header="567" w:footer="567" w:gutter="0"/>
          <w:cols w:num="2" w:space="425"/>
          <w:docGrid w:linePitch="360"/>
        </w:sectPr>
      </w:pPr>
    </w:p>
    <w:p w14:paraId="0C17E9B8" w14:textId="387D3716" w:rsidR="00C11D03" w:rsidRPr="00EC2ED0" w:rsidRDefault="00C11D03" w:rsidP="008B2B51">
      <w:pPr>
        <w:spacing w:line="338" w:lineRule="auto"/>
        <w:jc w:val="both"/>
        <w:rPr>
          <w:rFonts w:eastAsia="함초롬바탕"/>
          <w:color w:val="000000" w:themeColor="text1"/>
          <w:spacing w:val="-2"/>
          <w:w w:val="98"/>
          <w:sz w:val="19"/>
          <w:szCs w:val="19"/>
        </w:rPr>
      </w:pPr>
    </w:p>
    <w:p w14:paraId="00CE2014" w14:textId="3C23EE5B" w:rsidR="005B4347" w:rsidRPr="00EC2ED0" w:rsidRDefault="005B4347" w:rsidP="005B4347">
      <w:pPr>
        <w:pStyle w:val="Caption"/>
        <w:rPr>
          <w:color w:val="000000" w:themeColor="text1"/>
        </w:rPr>
      </w:pPr>
      <w:r w:rsidRPr="00EC2ED0">
        <w:rPr>
          <w:b/>
          <w:bCs/>
          <w:color w:val="000000" w:themeColor="text1"/>
        </w:rPr>
        <w:t xml:space="preserve">Table </w:t>
      </w:r>
      <w:r w:rsidRPr="00EC2ED0">
        <w:rPr>
          <w:b/>
          <w:bCs/>
          <w:color w:val="000000" w:themeColor="text1"/>
        </w:rPr>
        <w:fldChar w:fldCharType="begin"/>
      </w:r>
      <w:r w:rsidRPr="00EC2ED0">
        <w:rPr>
          <w:b/>
          <w:bCs/>
          <w:color w:val="000000" w:themeColor="text1"/>
        </w:rPr>
        <w:instrText xml:space="preserve"> SEQ Table \* ARABIC </w:instrText>
      </w:r>
      <w:r w:rsidRPr="00EC2ED0">
        <w:rPr>
          <w:b/>
          <w:bCs/>
          <w:color w:val="000000" w:themeColor="text1"/>
        </w:rPr>
        <w:fldChar w:fldCharType="separate"/>
      </w:r>
      <w:r w:rsidR="001112CD" w:rsidRPr="00EC2ED0">
        <w:rPr>
          <w:b/>
          <w:bCs/>
          <w:noProof/>
          <w:color w:val="000000" w:themeColor="text1"/>
        </w:rPr>
        <w:t>6</w:t>
      </w:r>
      <w:r w:rsidRPr="00EC2ED0">
        <w:rPr>
          <w:b/>
          <w:bCs/>
          <w:color w:val="000000" w:themeColor="text1"/>
        </w:rPr>
        <w:fldChar w:fldCharType="end"/>
      </w:r>
      <w:r w:rsidRPr="00EC2ED0">
        <w:rPr>
          <w:b/>
          <w:bCs/>
          <w:color w:val="000000" w:themeColor="text1"/>
        </w:rPr>
        <w:t>.</w:t>
      </w:r>
      <w:r w:rsidRPr="00EC2ED0">
        <w:rPr>
          <w:color w:val="000000" w:themeColor="text1"/>
        </w:rPr>
        <w:t xml:space="preserve"> </w:t>
      </w:r>
      <w:r w:rsidRPr="00EC2ED0">
        <w:rPr>
          <w:color w:val="000000" w:themeColor="text1"/>
          <w:lang/>
        </w:rPr>
        <w:t>Regression Results and Hypothesis Testing</w:t>
      </w:r>
    </w:p>
    <w:tbl>
      <w:tblPr>
        <w:tblStyle w:val="TableGrid"/>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51"/>
        <w:gridCol w:w="1151"/>
        <w:gridCol w:w="1150"/>
        <w:gridCol w:w="1150"/>
        <w:gridCol w:w="1152"/>
        <w:gridCol w:w="1152"/>
        <w:gridCol w:w="1150"/>
      </w:tblGrid>
      <w:tr w:rsidR="00EC2ED0" w:rsidRPr="00EC2ED0" w14:paraId="7CC0C9B5" w14:textId="77777777" w:rsidTr="005F2A94">
        <w:tc>
          <w:tcPr>
            <w:tcW w:w="714" w:type="pct"/>
            <w:tcBorders>
              <w:top w:val="single" w:sz="12" w:space="0" w:color="auto"/>
              <w:bottom w:val="single" w:sz="12" w:space="0" w:color="auto"/>
            </w:tcBorders>
            <w:vAlign w:val="center"/>
          </w:tcPr>
          <w:p w14:paraId="23A4C12C" w14:textId="4F870021" w:rsidR="008A6AF9" w:rsidRPr="00EC2ED0" w:rsidRDefault="008A6AF9" w:rsidP="001C0E0E">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Hypothesis</w:t>
            </w:r>
          </w:p>
        </w:tc>
        <w:tc>
          <w:tcPr>
            <w:tcW w:w="714" w:type="pct"/>
            <w:tcBorders>
              <w:top w:val="single" w:sz="12" w:space="0" w:color="auto"/>
              <w:bottom w:val="single" w:sz="12" w:space="0" w:color="auto"/>
            </w:tcBorders>
            <w:vAlign w:val="center"/>
          </w:tcPr>
          <w:p w14:paraId="02936850" w14:textId="7BCE216A" w:rsidR="008A6AF9" w:rsidRPr="00EC2ED0" w:rsidRDefault="008A6AF9" w:rsidP="001C0E0E">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Path</w:t>
            </w:r>
          </w:p>
        </w:tc>
        <w:tc>
          <w:tcPr>
            <w:tcW w:w="714" w:type="pct"/>
            <w:tcBorders>
              <w:top w:val="single" w:sz="12" w:space="0" w:color="auto"/>
              <w:bottom w:val="single" w:sz="12" w:space="0" w:color="auto"/>
            </w:tcBorders>
            <w:vAlign w:val="center"/>
          </w:tcPr>
          <w:p w14:paraId="6C1588CC" w14:textId="2DE4DD2A" w:rsidR="008A6AF9" w:rsidRPr="00EC2ED0" w:rsidRDefault="008A6AF9" w:rsidP="001C0E0E">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B</w:t>
            </w:r>
          </w:p>
        </w:tc>
        <w:tc>
          <w:tcPr>
            <w:tcW w:w="714" w:type="pct"/>
            <w:tcBorders>
              <w:top w:val="single" w:sz="12" w:space="0" w:color="auto"/>
              <w:bottom w:val="single" w:sz="12" w:space="0" w:color="auto"/>
            </w:tcBorders>
            <w:vAlign w:val="center"/>
          </w:tcPr>
          <w:p w14:paraId="112DDBBF" w14:textId="40055F43" w:rsidR="008A6AF9" w:rsidRPr="00EC2ED0" w:rsidRDefault="008A6AF9" w:rsidP="001C0E0E">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S.E.</w:t>
            </w:r>
          </w:p>
        </w:tc>
        <w:tc>
          <w:tcPr>
            <w:tcW w:w="715" w:type="pct"/>
            <w:tcBorders>
              <w:top w:val="single" w:sz="12" w:space="0" w:color="auto"/>
              <w:bottom w:val="single" w:sz="12" w:space="0" w:color="auto"/>
            </w:tcBorders>
            <w:vAlign w:val="center"/>
          </w:tcPr>
          <w:p w14:paraId="2753EC81" w14:textId="2924605D" w:rsidR="008A6AF9" w:rsidRPr="00EC2ED0" w:rsidRDefault="008A6AF9" w:rsidP="001C0E0E">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t</w:t>
            </w:r>
          </w:p>
        </w:tc>
        <w:tc>
          <w:tcPr>
            <w:tcW w:w="715" w:type="pct"/>
            <w:tcBorders>
              <w:top w:val="single" w:sz="12" w:space="0" w:color="auto"/>
              <w:bottom w:val="single" w:sz="12" w:space="0" w:color="auto"/>
            </w:tcBorders>
            <w:vAlign w:val="center"/>
          </w:tcPr>
          <w:p w14:paraId="59A4DA97" w14:textId="73918D26" w:rsidR="008A6AF9" w:rsidRPr="00EC2ED0" w:rsidRDefault="008A6AF9" w:rsidP="001C0E0E">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p</w:t>
            </w:r>
          </w:p>
        </w:tc>
        <w:tc>
          <w:tcPr>
            <w:tcW w:w="715" w:type="pct"/>
            <w:tcBorders>
              <w:top w:val="single" w:sz="12" w:space="0" w:color="auto"/>
              <w:bottom w:val="single" w:sz="12" w:space="0" w:color="auto"/>
            </w:tcBorders>
            <w:vAlign w:val="center"/>
          </w:tcPr>
          <w:p w14:paraId="2462C8DF" w14:textId="1B69A428" w:rsidR="008A6AF9" w:rsidRPr="00EC2ED0" w:rsidRDefault="00446B9B" w:rsidP="001C0E0E">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Decision</w:t>
            </w:r>
          </w:p>
        </w:tc>
      </w:tr>
      <w:tr w:rsidR="00EC2ED0" w:rsidRPr="00EC2ED0" w14:paraId="41E56A80" w14:textId="77777777" w:rsidTr="00146BE9">
        <w:tc>
          <w:tcPr>
            <w:tcW w:w="5000" w:type="pct"/>
            <w:gridSpan w:val="7"/>
            <w:tcBorders>
              <w:top w:val="single" w:sz="12" w:space="0" w:color="auto"/>
              <w:bottom w:val="single" w:sz="4" w:space="0" w:color="auto"/>
            </w:tcBorders>
            <w:vAlign w:val="center"/>
          </w:tcPr>
          <w:p w14:paraId="3A895743" w14:textId="39B560AA" w:rsidR="001C0E0E" w:rsidRPr="00EC2ED0" w:rsidRDefault="001C0E0E" w:rsidP="008A6AF9">
            <w:pPr>
              <w:spacing w:before="20" w:after="20"/>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Direct and Component Paths</w:t>
            </w:r>
          </w:p>
        </w:tc>
      </w:tr>
      <w:tr w:rsidR="00EC2ED0" w:rsidRPr="00EC2ED0" w14:paraId="0787B007" w14:textId="77777777" w:rsidTr="005F2A94">
        <w:tc>
          <w:tcPr>
            <w:tcW w:w="714" w:type="pct"/>
            <w:tcBorders>
              <w:top w:val="single" w:sz="4" w:space="0" w:color="auto"/>
            </w:tcBorders>
            <w:vAlign w:val="center"/>
          </w:tcPr>
          <w:p w14:paraId="19337D14" w14:textId="4E293E6A"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H1</w:t>
            </w:r>
          </w:p>
        </w:tc>
        <w:tc>
          <w:tcPr>
            <w:tcW w:w="714" w:type="pct"/>
            <w:tcBorders>
              <w:top w:val="single" w:sz="4" w:space="0" w:color="auto"/>
            </w:tcBorders>
            <w:vAlign w:val="center"/>
          </w:tcPr>
          <w:p w14:paraId="6752342A" w14:textId="1F4C4DE3" w:rsidR="008A6AF9" w:rsidRPr="00EC2ED0" w:rsidRDefault="008A6AF9" w:rsidP="00D37C1A">
            <w:pPr>
              <w:spacing w:before="20" w:after="20"/>
              <w:ind w:left="-128" w:right="-8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RE → SAT (c′)</w:t>
            </w:r>
          </w:p>
        </w:tc>
        <w:tc>
          <w:tcPr>
            <w:tcW w:w="714" w:type="pct"/>
            <w:tcBorders>
              <w:top w:val="single" w:sz="4" w:space="0" w:color="auto"/>
            </w:tcBorders>
            <w:vAlign w:val="center"/>
          </w:tcPr>
          <w:p w14:paraId="57A82F89" w14:textId="4D54CE16"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0.185</w:t>
            </w:r>
          </w:p>
        </w:tc>
        <w:tc>
          <w:tcPr>
            <w:tcW w:w="714" w:type="pct"/>
            <w:tcBorders>
              <w:top w:val="single" w:sz="4" w:space="0" w:color="auto"/>
            </w:tcBorders>
            <w:vAlign w:val="center"/>
          </w:tcPr>
          <w:p w14:paraId="6A347368" w14:textId="49730CEA"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0.109</w:t>
            </w:r>
          </w:p>
        </w:tc>
        <w:tc>
          <w:tcPr>
            <w:tcW w:w="715" w:type="pct"/>
            <w:tcBorders>
              <w:top w:val="single" w:sz="4" w:space="0" w:color="auto"/>
            </w:tcBorders>
            <w:vAlign w:val="center"/>
          </w:tcPr>
          <w:p w14:paraId="793C5869" w14:textId="5DC34E90"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1.692</w:t>
            </w:r>
          </w:p>
        </w:tc>
        <w:tc>
          <w:tcPr>
            <w:tcW w:w="715" w:type="pct"/>
            <w:tcBorders>
              <w:top w:val="single" w:sz="4" w:space="0" w:color="auto"/>
            </w:tcBorders>
            <w:vAlign w:val="center"/>
          </w:tcPr>
          <w:p w14:paraId="1B18A91C" w14:textId="28A9D72F"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0.095</w:t>
            </w:r>
          </w:p>
        </w:tc>
        <w:tc>
          <w:tcPr>
            <w:tcW w:w="715" w:type="pct"/>
            <w:tcBorders>
              <w:top w:val="single" w:sz="4" w:space="0" w:color="auto"/>
            </w:tcBorders>
            <w:vAlign w:val="center"/>
          </w:tcPr>
          <w:p w14:paraId="1C1C5F7B" w14:textId="1857C03F" w:rsidR="008A6AF9" w:rsidRPr="00EC2ED0" w:rsidRDefault="00446B9B" w:rsidP="00D37C1A">
            <w:pPr>
              <w:spacing w:before="20" w:after="20"/>
              <w:ind w:left="-65" w:right="-132"/>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Not supported (marginal)</w:t>
            </w:r>
          </w:p>
        </w:tc>
      </w:tr>
      <w:tr w:rsidR="00EC2ED0" w:rsidRPr="00EC2ED0" w14:paraId="030F849D" w14:textId="77777777" w:rsidTr="005F2A94">
        <w:tc>
          <w:tcPr>
            <w:tcW w:w="714" w:type="pct"/>
            <w:vAlign w:val="center"/>
          </w:tcPr>
          <w:p w14:paraId="40BD72E9" w14:textId="1EE66ABA"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H2</w:t>
            </w:r>
          </w:p>
        </w:tc>
        <w:tc>
          <w:tcPr>
            <w:tcW w:w="714" w:type="pct"/>
            <w:vAlign w:val="center"/>
          </w:tcPr>
          <w:p w14:paraId="3EEE27D1" w14:textId="08991BDE" w:rsidR="008A6AF9" w:rsidRPr="00EC2ED0" w:rsidRDefault="008A6AF9" w:rsidP="00D37C1A">
            <w:pPr>
              <w:spacing w:before="20" w:after="20"/>
              <w:ind w:left="-128" w:right="-8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RE → EMP (a₁)</w:t>
            </w:r>
          </w:p>
        </w:tc>
        <w:tc>
          <w:tcPr>
            <w:tcW w:w="714" w:type="pct"/>
            <w:vAlign w:val="center"/>
          </w:tcPr>
          <w:p w14:paraId="517A483A" w14:textId="74CED342"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0.452</w:t>
            </w:r>
          </w:p>
        </w:tc>
        <w:tc>
          <w:tcPr>
            <w:tcW w:w="714" w:type="pct"/>
            <w:vAlign w:val="center"/>
          </w:tcPr>
          <w:p w14:paraId="5B31C7F6" w14:textId="3D8B9359"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0.088</w:t>
            </w:r>
          </w:p>
        </w:tc>
        <w:tc>
          <w:tcPr>
            <w:tcW w:w="715" w:type="pct"/>
            <w:vAlign w:val="center"/>
          </w:tcPr>
          <w:p w14:paraId="1FD121FA" w14:textId="2EA0874A"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5.136</w:t>
            </w:r>
          </w:p>
        </w:tc>
        <w:tc>
          <w:tcPr>
            <w:tcW w:w="715" w:type="pct"/>
            <w:vAlign w:val="center"/>
          </w:tcPr>
          <w:p w14:paraId="35114618" w14:textId="7D0F8183"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0.000</w:t>
            </w:r>
            <w:r w:rsidR="00010154" w:rsidRPr="00EC2ED0">
              <w:rPr>
                <w:rFonts w:eastAsia="함초롬바탕"/>
                <w:color w:val="000000" w:themeColor="text1"/>
                <w:spacing w:val="-2"/>
                <w:w w:val="98"/>
                <w:sz w:val="19"/>
                <w:szCs w:val="19"/>
                <w:vertAlign w:val="superscript"/>
              </w:rPr>
              <w:t>***</w:t>
            </w:r>
          </w:p>
        </w:tc>
        <w:tc>
          <w:tcPr>
            <w:tcW w:w="715" w:type="pct"/>
            <w:vAlign w:val="center"/>
          </w:tcPr>
          <w:p w14:paraId="72BACB20" w14:textId="60829CB3" w:rsidR="008A6AF9" w:rsidRPr="00EC2ED0" w:rsidRDefault="00446B9B" w:rsidP="00D37C1A">
            <w:pPr>
              <w:spacing w:before="20" w:after="20"/>
              <w:ind w:left="-65" w:right="-132"/>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Supported</w:t>
            </w:r>
          </w:p>
        </w:tc>
      </w:tr>
      <w:tr w:rsidR="00EC2ED0" w:rsidRPr="00EC2ED0" w14:paraId="4A4CD96A" w14:textId="77777777" w:rsidTr="005F2A94">
        <w:tc>
          <w:tcPr>
            <w:tcW w:w="714" w:type="pct"/>
            <w:vAlign w:val="center"/>
          </w:tcPr>
          <w:p w14:paraId="055F236D" w14:textId="237C247A"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H3</w:t>
            </w:r>
          </w:p>
        </w:tc>
        <w:tc>
          <w:tcPr>
            <w:tcW w:w="714" w:type="pct"/>
            <w:vAlign w:val="center"/>
          </w:tcPr>
          <w:p w14:paraId="2DDEBC68" w14:textId="6C901364" w:rsidR="008A6AF9" w:rsidRPr="00EC2ED0" w:rsidRDefault="008A6AF9" w:rsidP="00D37C1A">
            <w:pPr>
              <w:spacing w:before="20" w:after="20"/>
              <w:ind w:left="-128" w:right="-8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EMP → SAT (b₁)</w:t>
            </w:r>
          </w:p>
        </w:tc>
        <w:tc>
          <w:tcPr>
            <w:tcW w:w="714" w:type="pct"/>
            <w:vAlign w:val="center"/>
          </w:tcPr>
          <w:p w14:paraId="54EEA7E7" w14:textId="6E44D092"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0.385</w:t>
            </w:r>
          </w:p>
        </w:tc>
        <w:tc>
          <w:tcPr>
            <w:tcW w:w="714" w:type="pct"/>
            <w:vAlign w:val="center"/>
          </w:tcPr>
          <w:p w14:paraId="62AC3A78" w14:textId="61026AF2"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0.092</w:t>
            </w:r>
          </w:p>
        </w:tc>
        <w:tc>
          <w:tcPr>
            <w:tcW w:w="715" w:type="pct"/>
            <w:vAlign w:val="center"/>
          </w:tcPr>
          <w:p w14:paraId="044C052F" w14:textId="34CDB422"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4.184</w:t>
            </w:r>
          </w:p>
        </w:tc>
        <w:tc>
          <w:tcPr>
            <w:tcW w:w="715" w:type="pct"/>
            <w:vAlign w:val="center"/>
          </w:tcPr>
          <w:p w14:paraId="736F8BA7" w14:textId="3FBB49B8"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0.000</w:t>
            </w:r>
            <w:r w:rsidR="00010154" w:rsidRPr="00EC2ED0">
              <w:rPr>
                <w:rFonts w:eastAsia="함초롬바탕"/>
                <w:color w:val="000000" w:themeColor="text1"/>
                <w:spacing w:val="-2"/>
                <w:w w:val="98"/>
                <w:sz w:val="19"/>
                <w:szCs w:val="19"/>
                <w:vertAlign w:val="superscript"/>
              </w:rPr>
              <w:t>***</w:t>
            </w:r>
          </w:p>
        </w:tc>
        <w:tc>
          <w:tcPr>
            <w:tcW w:w="715" w:type="pct"/>
            <w:vAlign w:val="center"/>
          </w:tcPr>
          <w:p w14:paraId="194D6C9F" w14:textId="73E38DCD" w:rsidR="008A6AF9" w:rsidRPr="00EC2ED0" w:rsidRDefault="00446B9B" w:rsidP="00D37C1A">
            <w:pPr>
              <w:spacing w:before="20" w:after="20"/>
              <w:ind w:left="-65" w:right="-132"/>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Supported</w:t>
            </w:r>
          </w:p>
        </w:tc>
      </w:tr>
      <w:tr w:rsidR="00EC2ED0" w:rsidRPr="00EC2ED0" w14:paraId="16C5E510" w14:textId="77777777" w:rsidTr="005F2A94">
        <w:tc>
          <w:tcPr>
            <w:tcW w:w="714" w:type="pct"/>
            <w:vAlign w:val="center"/>
          </w:tcPr>
          <w:p w14:paraId="013DA68E" w14:textId="3C285986"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H5</w:t>
            </w:r>
          </w:p>
        </w:tc>
        <w:tc>
          <w:tcPr>
            <w:tcW w:w="714" w:type="pct"/>
            <w:vAlign w:val="center"/>
          </w:tcPr>
          <w:p w14:paraId="352B5068" w14:textId="72FF36A1" w:rsidR="008A6AF9" w:rsidRPr="00EC2ED0" w:rsidRDefault="008A6AF9" w:rsidP="00D37C1A">
            <w:pPr>
              <w:spacing w:before="20" w:after="20"/>
              <w:ind w:left="-128" w:right="-8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RE → DOC (a₂)</w:t>
            </w:r>
          </w:p>
        </w:tc>
        <w:tc>
          <w:tcPr>
            <w:tcW w:w="714" w:type="pct"/>
            <w:vAlign w:val="center"/>
          </w:tcPr>
          <w:p w14:paraId="59B86FCF" w14:textId="43DFAD3B"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0.512</w:t>
            </w:r>
          </w:p>
        </w:tc>
        <w:tc>
          <w:tcPr>
            <w:tcW w:w="714" w:type="pct"/>
            <w:vAlign w:val="center"/>
          </w:tcPr>
          <w:p w14:paraId="13A64F3A" w14:textId="77059C41"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0.076</w:t>
            </w:r>
          </w:p>
        </w:tc>
        <w:tc>
          <w:tcPr>
            <w:tcW w:w="715" w:type="pct"/>
            <w:vAlign w:val="center"/>
          </w:tcPr>
          <w:p w14:paraId="6E3A18F8" w14:textId="2D485211"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6.736</w:t>
            </w:r>
          </w:p>
        </w:tc>
        <w:tc>
          <w:tcPr>
            <w:tcW w:w="715" w:type="pct"/>
            <w:vAlign w:val="center"/>
          </w:tcPr>
          <w:p w14:paraId="45DCC513" w14:textId="0F07EC4B"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0.000</w:t>
            </w:r>
            <w:r w:rsidR="00010154" w:rsidRPr="00EC2ED0">
              <w:rPr>
                <w:rFonts w:eastAsia="함초롬바탕"/>
                <w:color w:val="000000" w:themeColor="text1"/>
                <w:spacing w:val="-2"/>
                <w:w w:val="98"/>
                <w:sz w:val="19"/>
                <w:szCs w:val="19"/>
                <w:vertAlign w:val="superscript"/>
              </w:rPr>
              <w:t>***</w:t>
            </w:r>
          </w:p>
        </w:tc>
        <w:tc>
          <w:tcPr>
            <w:tcW w:w="715" w:type="pct"/>
            <w:vAlign w:val="center"/>
          </w:tcPr>
          <w:p w14:paraId="418141CB" w14:textId="2491A8D3" w:rsidR="008A6AF9" w:rsidRPr="00EC2ED0" w:rsidRDefault="00446B9B" w:rsidP="00D37C1A">
            <w:pPr>
              <w:spacing w:before="20" w:after="20"/>
              <w:ind w:left="-65" w:right="-132"/>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Supported</w:t>
            </w:r>
          </w:p>
        </w:tc>
      </w:tr>
      <w:tr w:rsidR="00EC2ED0" w:rsidRPr="00EC2ED0" w14:paraId="5D5FE9B5" w14:textId="77777777" w:rsidTr="005F2A94">
        <w:tc>
          <w:tcPr>
            <w:tcW w:w="714" w:type="pct"/>
            <w:tcBorders>
              <w:bottom w:val="single" w:sz="4" w:space="0" w:color="auto"/>
            </w:tcBorders>
            <w:vAlign w:val="center"/>
          </w:tcPr>
          <w:p w14:paraId="7B78B4D0" w14:textId="15931831"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H6</w:t>
            </w:r>
          </w:p>
        </w:tc>
        <w:tc>
          <w:tcPr>
            <w:tcW w:w="714" w:type="pct"/>
            <w:tcBorders>
              <w:bottom w:val="single" w:sz="4" w:space="0" w:color="auto"/>
            </w:tcBorders>
            <w:vAlign w:val="center"/>
          </w:tcPr>
          <w:p w14:paraId="60BD7936" w14:textId="4713B9C3" w:rsidR="008A6AF9" w:rsidRPr="00EC2ED0" w:rsidRDefault="008A6AF9" w:rsidP="00D37C1A">
            <w:pPr>
              <w:spacing w:before="20" w:after="20"/>
              <w:ind w:left="-128" w:right="-8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DOC → SAT (b₂)</w:t>
            </w:r>
          </w:p>
        </w:tc>
        <w:tc>
          <w:tcPr>
            <w:tcW w:w="714" w:type="pct"/>
            <w:tcBorders>
              <w:bottom w:val="single" w:sz="4" w:space="0" w:color="auto"/>
            </w:tcBorders>
            <w:vAlign w:val="center"/>
          </w:tcPr>
          <w:p w14:paraId="5FDFEAF3" w14:textId="5ACA3CE3"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0.298</w:t>
            </w:r>
          </w:p>
        </w:tc>
        <w:tc>
          <w:tcPr>
            <w:tcW w:w="714" w:type="pct"/>
            <w:tcBorders>
              <w:bottom w:val="single" w:sz="4" w:space="0" w:color="auto"/>
            </w:tcBorders>
            <w:vAlign w:val="center"/>
          </w:tcPr>
          <w:p w14:paraId="2C45606B" w14:textId="1B8EC282"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0.084</w:t>
            </w:r>
          </w:p>
        </w:tc>
        <w:tc>
          <w:tcPr>
            <w:tcW w:w="715" w:type="pct"/>
            <w:tcBorders>
              <w:bottom w:val="single" w:sz="4" w:space="0" w:color="auto"/>
            </w:tcBorders>
            <w:vAlign w:val="center"/>
          </w:tcPr>
          <w:p w14:paraId="7C90B12C" w14:textId="4EC8BA3C"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3.547</w:t>
            </w:r>
          </w:p>
        </w:tc>
        <w:tc>
          <w:tcPr>
            <w:tcW w:w="715" w:type="pct"/>
            <w:tcBorders>
              <w:bottom w:val="single" w:sz="4" w:space="0" w:color="auto"/>
            </w:tcBorders>
            <w:vAlign w:val="center"/>
          </w:tcPr>
          <w:p w14:paraId="55E9F00D" w14:textId="3942BA26" w:rsidR="008A6AF9" w:rsidRPr="00EC2ED0" w:rsidRDefault="008A6AF9"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0.001</w:t>
            </w:r>
            <w:r w:rsidR="00010154" w:rsidRPr="00EC2ED0">
              <w:rPr>
                <w:rFonts w:eastAsia="함초롬바탕"/>
                <w:color w:val="000000" w:themeColor="text1"/>
                <w:spacing w:val="-2"/>
                <w:w w:val="98"/>
                <w:sz w:val="19"/>
                <w:szCs w:val="19"/>
                <w:vertAlign w:val="superscript"/>
              </w:rPr>
              <w:t>**</w:t>
            </w:r>
          </w:p>
        </w:tc>
        <w:tc>
          <w:tcPr>
            <w:tcW w:w="715" w:type="pct"/>
            <w:tcBorders>
              <w:bottom w:val="single" w:sz="4" w:space="0" w:color="auto"/>
            </w:tcBorders>
            <w:vAlign w:val="center"/>
          </w:tcPr>
          <w:p w14:paraId="0AAB015C" w14:textId="285197EB" w:rsidR="008A6AF9" w:rsidRPr="00EC2ED0" w:rsidRDefault="00446B9B" w:rsidP="00D37C1A">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Supported</w:t>
            </w:r>
          </w:p>
        </w:tc>
      </w:tr>
      <w:tr w:rsidR="00EC2ED0" w:rsidRPr="00EC2ED0" w14:paraId="36B4456A" w14:textId="77777777" w:rsidTr="00DE60DF">
        <w:tc>
          <w:tcPr>
            <w:tcW w:w="5000" w:type="pct"/>
            <w:gridSpan w:val="7"/>
            <w:tcBorders>
              <w:top w:val="single" w:sz="4" w:space="0" w:color="auto"/>
              <w:bottom w:val="single" w:sz="4" w:space="0" w:color="auto"/>
            </w:tcBorders>
            <w:vAlign w:val="center"/>
          </w:tcPr>
          <w:p w14:paraId="3DF68E0C" w14:textId="390FB64C" w:rsidR="00F556F5" w:rsidRPr="00EC2ED0" w:rsidRDefault="00F556F5" w:rsidP="00CA20EC">
            <w:pPr>
              <w:spacing w:before="20" w:after="20"/>
              <w:ind w:left="-128" w:right="-80"/>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Mediation Analysis (Bootstrap, 5,000 resamples)</w:t>
            </w:r>
          </w:p>
        </w:tc>
      </w:tr>
      <w:tr w:rsidR="00EC2ED0" w:rsidRPr="00EC2ED0" w14:paraId="378D11A2" w14:textId="77777777" w:rsidTr="005F2A94">
        <w:tc>
          <w:tcPr>
            <w:tcW w:w="714" w:type="pct"/>
            <w:tcBorders>
              <w:top w:val="single" w:sz="4" w:space="0" w:color="auto"/>
            </w:tcBorders>
            <w:vAlign w:val="center"/>
          </w:tcPr>
          <w:p w14:paraId="3CD7D24B" w14:textId="0D8B5200" w:rsidR="005F2A94" w:rsidRPr="00EC2ED0" w:rsidRDefault="005F2A94" w:rsidP="005F2A94">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H4</w:t>
            </w:r>
          </w:p>
        </w:tc>
        <w:tc>
          <w:tcPr>
            <w:tcW w:w="714" w:type="pct"/>
            <w:tcBorders>
              <w:top w:val="single" w:sz="4" w:space="0" w:color="auto"/>
            </w:tcBorders>
            <w:vAlign w:val="center"/>
          </w:tcPr>
          <w:p w14:paraId="3EAB5878" w14:textId="34D57BC1" w:rsidR="005F2A94" w:rsidRPr="00EC2ED0" w:rsidRDefault="005F2A94" w:rsidP="005F2A94">
            <w:pPr>
              <w:spacing w:before="20" w:after="20"/>
              <w:ind w:left="-128" w:right="-8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RE → EMP → SAT</w:t>
            </w:r>
          </w:p>
        </w:tc>
        <w:tc>
          <w:tcPr>
            <w:tcW w:w="714" w:type="pct"/>
            <w:tcBorders>
              <w:top w:val="single" w:sz="4" w:space="0" w:color="auto"/>
            </w:tcBorders>
            <w:vAlign w:val="center"/>
          </w:tcPr>
          <w:p w14:paraId="4E6DC989" w14:textId="7CF965F7" w:rsidR="005F2A94" w:rsidRPr="00EC2ED0" w:rsidRDefault="005F2A94" w:rsidP="005F2A94">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0.174</w:t>
            </w:r>
          </w:p>
        </w:tc>
        <w:tc>
          <w:tcPr>
            <w:tcW w:w="714" w:type="pct"/>
            <w:tcBorders>
              <w:top w:val="single" w:sz="4" w:space="0" w:color="auto"/>
            </w:tcBorders>
            <w:vAlign w:val="center"/>
          </w:tcPr>
          <w:p w14:paraId="64D973B8" w14:textId="06C9A02E" w:rsidR="005F2A94" w:rsidRPr="00EC2ED0" w:rsidRDefault="005F2A94" w:rsidP="005F2A94">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0.058</w:t>
            </w:r>
          </w:p>
        </w:tc>
        <w:tc>
          <w:tcPr>
            <w:tcW w:w="715" w:type="pct"/>
            <w:tcBorders>
              <w:top w:val="single" w:sz="4" w:space="0" w:color="auto"/>
            </w:tcBorders>
            <w:vAlign w:val="center"/>
          </w:tcPr>
          <w:p w14:paraId="053949B7" w14:textId="0D0E5B49" w:rsidR="005F2A94" w:rsidRPr="00EC2ED0" w:rsidRDefault="005F2A94" w:rsidP="005F2A94">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w:t>
            </w:r>
          </w:p>
        </w:tc>
        <w:tc>
          <w:tcPr>
            <w:tcW w:w="715" w:type="pct"/>
            <w:tcBorders>
              <w:top w:val="single" w:sz="4" w:space="0" w:color="auto"/>
            </w:tcBorders>
            <w:vAlign w:val="center"/>
          </w:tcPr>
          <w:p w14:paraId="01CDAC3A" w14:textId="35E97130" w:rsidR="005F2A94" w:rsidRPr="00EC2ED0" w:rsidRDefault="005F2A94" w:rsidP="005F2A94">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w:t>
            </w:r>
          </w:p>
        </w:tc>
        <w:tc>
          <w:tcPr>
            <w:tcW w:w="715" w:type="pct"/>
            <w:tcBorders>
              <w:top w:val="single" w:sz="4" w:space="0" w:color="auto"/>
            </w:tcBorders>
            <w:vAlign w:val="center"/>
          </w:tcPr>
          <w:p w14:paraId="4A54F021" w14:textId="2779EBE3" w:rsidR="005F2A94" w:rsidRPr="00EC2ED0" w:rsidRDefault="005F2A94" w:rsidP="005F2A94">
            <w:pPr>
              <w:spacing w:before="20" w:after="20"/>
              <w:ind w:left="-49" w:right="-147"/>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Ci excludes 0</w:t>
            </w:r>
          </w:p>
        </w:tc>
      </w:tr>
      <w:tr w:rsidR="00EC2ED0" w:rsidRPr="00EC2ED0" w14:paraId="2A181DD6" w14:textId="77777777" w:rsidTr="005F2A94">
        <w:tc>
          <w:tcPr>
            <w:tcW w:w="714" w:type="pct"/>
            <w:vAlign w:val="center"/>
          </w:tcPr>
          <w:p w14:paraId="39EA570F" w14:textId="2ABCD3BA" w:rsidR="005F2A94" w:rsidRPr="00EC2ED0" w:rsidRDefault="005F2A94" w:rsidP="005F2A94">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H7</w:t>
            </w:r>
          </w:p>
        </w:tc>
        <w:tc>
          <w:tcPr>
            <w:tcW w:w="714" w:type="pct"/>
            <w:vAlign w:val="center"/>
          </w:tcPr>
          <w:p w14:paraId="6E1AA0CE" w14:textId="29134C41" w:rsidR="005F2A94" w:rsidRPr="00EC2ED0" w:rsidRDefault="005F2A94" w:rsidP="005F2A94">
            <w:pPr>
              <w:spacing w:before="20" w:after="20"/>
              <w:ind w:left="-128" w:right="-8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RE → DOC → SAT</w:t>
            </w:r>
          </w:p>
        </w:tc>
        <w:tc>
          <w:tcPr>
            <w:tcW w:w="714" w:type="pct"/>
            <w:vAlign w:val="center"/>
          </w:tcPr>
          <w:p w14:paraId="0E97EE2F" w14:textId="6461309A" w:rsidR="005F2A94" w:rsidRPr="00EC2ED0" w:rsidRDefault="005F2A94" w:rsidP="005F2A94">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0.153</w:t>
            </w:r>
          </w:p>
        </w:tc>
        <w:tc>
          <w:tcPr>
            <w:tcW w:w="714" w:type="pct"/>
            <w:vAlign w:val="center"/>
          </w:tcPr>
          <w:p w14:paraId="7599318D" w14:textId="7F927FB9" w:rsidR="005F2A94" w:rsidRPr="00EC2ED0" w:rsidRDefault="005F2A94" w:rsidP="005F2A94">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0.062</w:t>
            </w:r>
          </w:p>
        </w:tc>
        <w:tc>
          <w:tcPr>
            <w:tcW w:w="715" w:type="pct"/>
            <w:vAlign w:val="center"/>
          </w:tcPr>
          <w:p w14:paraId="110EDC12" w14:textId="5358D412" w:rsidR="005F2A94" w:rsidRPr="00EC2ED0" w:rsidRDefault="005F2A94" w:rsidP="005F2A94">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w:t>
            </w:r>
          </w:p>
        </w:tc>
        <w:tc>
          <w:tcPr>
            <w:tcW w:w="715" w:type="pct"/>
            <w:vAlign w:val="center"/>
          </w:tcPr>
          <w:p w14:paraId="021D5D1C" w14:textId="3C8346BD" w:rsidR="005F2A94" w:rsidRPr="00EC2ED0" w:rsidRDefault="005F2A94" w:rsidP="005F2A94">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w:t>
            </w:r>
          </w:p>
        </w:tc>
        <w:tc>
          <w:tcPr>
            <w:tcW w:w="715" w:type="pct"/>
            <w:vAlign w:val="center"/>
          </w:tcPr>
          <w:p w14:paraId="3B89A1FC" w14:textId="422CBA78" w:rsidR="005F2A94" w:rsidRPr="00EC2ED0" w:rsidRDefault="005F2A94" w:rsidP="005F2A94">
            <w:pPr>
              <w:spacing w:before="20" w:after="20"/>
              <w:ind w:left="-49" w:right="-147"/>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Ci excludes 0</w:t>
            </w:r>
          </w:p>
        </w:tc>
      </w:tr>
      <w:tr w:rsidR="00233A4D" w:rsidRPr="00EC2ED0" w14:paraId="5C2C14AA" w14:textId="77777777" w:rsidTr="005F2A94">
        <w:tc>
          <w:tcPr>
            <w:tcW w:w="1428" w:type="pct"/>
            <w:gridSpan w:val="2"/>
            <w:vAlign w:val="center"/>
          </w:tcPr>
          <w:p w14:paraId="2132DAE0" w14:textId="5C9B18E8" w:rsidR="00233A4D" w:rsidRPr="00EC2ED0" w:rsidRDefault="00233A4D" w:rsidP="008A6AF9">
            <w:pPr>
              <w:spacing w:before="20" w:after="20"/>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Total Effect RE → SAT (c)</w:t>
            </w:r>
          </w:p>
        </w:tc>
        <w:tc>
          <w:tcPr>
            <w:tcW w:w="714" w:type="pct"/>
            <w:vAlign w:val="center"/>
          </w:tcPr>
          <w:p w14:paraId="37037D72" w14:textId="45175E36" w:rsidR="00233A4D" w:rsidRPr="00EC2ED0" w:rsidRDefault="00233A4D" w:rsidP="007D4881">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0.512</w:t>
            </w:r>
          </w:p>
        </w:tc>
        <w:tc>
          <w:tcPr>
            <w:tcW w:w="714" w:type="pct"/>
            <w:vAlign w:val="center"/>
          </w:tcPr>
          <w:p w14:paraId="1BF04F7D" w14:textId="2C8626F8" w:rsidR="00233A4D" w:rsidRPr="00EC2ED0" w:rsidRDefault="00233A4D" w:rsidP="007D4881">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0.095</w:t>
            </w:r>
          </w:p>
        </w:tc>
        <w:tc>
          <w:tcPr>
            <w:tcW w:w="715" w:type="pct"/>
            <w:vAlign w:val="center"/>
          </w:tcPr>
          <w:p w14:paraId="6D26366A" w14:textId="3191BA68" w:rsidR="00233A4D" w:rsidRPr="00EC2ED0" w:rsidRDefault="00233A4D" w:rsidP="007D4881">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5.389</w:t>
            </w:r>
          </w:p>
        </w:tc>
        <w:tc>
          <w:tcPr>
            <w:tcW w:w="715" w:type="pct"/>
            <w:vAlign w:val="center"/>
          </w:tcPr>
          <w:p w14:paraId="6E026FB3" w14:textId="21D18C39" w:rsidR="00233A4D" w:rsidRPr="00EC2ED0" w:rsidRDefault="005F2A94" w:rsidP="005F2A94">
            <w:pPr>
              <w:spacing w:before="20" w:after="20"/>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w:t>
            </w:r>
          </w:p>
        </w:tc>
        <w:tc>
          <w:tcPr>
            <w:tcW w:w="715" w:type="pct"/>
            <w:vAlign w:val="center"/>
          </w:tcPr>
          <w:p w14:paraId="6E841525" w14:textId="4BBD63B5" w:rsidR="00233A4D" w:rsidRPr="00EC2ED0" w:rsidRDefault="00233A4D" w:rsidP="007D4881">
            <w:pPr>
              <w:spacing w:before="20" w:after="20"/>
              <w:ind w:left="-49" w:right="-147"/>
              <w:jc w:val="center"/>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Significant</w:t>
            </w:r>
          </w:p>
        </w:tc>
      </w:tr>
    </w:tbl>
    <w:p w14:paraId="0728B931" w14:textId="77777777" w:rsidR="00FA2EEB" w:rsidRPr="00EC2ED0" w:rsidRDefault="00FA2EEB" w:rsidP="00945DCE">
      <w:pPr>
        <w:spacing w:line="338" w:lineRule="auto"/>
        <w:jc w:val="both"/>
        <w:rPr>
          <w:rFonts w:eastAsia="함초롬바탕"/>
          <w:color w:val="000000" w:themeColor="text1"/>
          <w:spacing w:val="-2"/>
          <w:w w:val="98"/>
          <w:sz w:val="2"/>
          <w:szCs w:val="2"/>
        </w:rPr>
      </w:pPr>
    </w:p>
    <w:p w14:paraId="2C9A86EB" w14:textId="77777777" w:rsidR="00B25318" w:rsidRPr="00EC2ED0" w:rsidRDefault="005C2FDC" w:rsidP="00B25318">
      <w:pPr>
        <w:jc w:val="right"/>
        <w:rPr>
          <w:rFonts w:eastAsia="함초롬바탕"/>
          <w:color w:val="000000" w:themeColor="text1"/>
          <w:spacing w:val="-2"/>
          <w:w w:val="98"/>
          <w:sz w:val="16"/>
          <w:szCs w:val="16"/>
        </w:rPr>
      </w:pPr>
      <w:r w:rsidRPr="00EC2ED0">
        <w:rPr>
          <w:rFonts w:eastAsia="함초롬바탕"/>
          <w:color w:val="000000" w:themeColor="text1"/>
          <w:spacing w:val="-2"/>
          <w:w w:val="98"/>
          <w:sz w:val="16"/>
          <w:szCs w:val="16"/>
        </w:rPr>
        <w:t xml:space="preserve">Note: N = 75. Bootstrap sample size = 5,000. LLCI = Lower Limit Confidence Interval; </w:t>
      </w:r>
    </w:p>
    <w:p w14:paraId="2D693248" w14:textId="1F2A15FE" w:rsidR="00C11D03" w:rsidRPr="00EC2ED0" w:rsidRDefault="005C2FDC" w:rsidP="00672707">
      <w:pPr>
        <w:spacing w:line="360" w:lineRule="auto"/>
        <w:jc w:val="right"/>
        <w:rPr>
          <w:rFonts w:eastAsia="함초롬바탕"/>
          <w:color w:val="000000" w:themeColor="text1"/>
          <w:spacing w:val="-2"/>
          <w:w w:val="98"/>
          <w:sz w:val="16"/>
          <w:szCs w:val="16"/>
        </w:rPr>
        <w:sectPr w:rsidR="00C11D03" w:rsidRPr="00EC2ED0" w:rsidSect="00C11D03">
          <w:type w:val="continuous"/>
          <w:pgSz w:w="10438" w:h="15122" w:code="7"/>
          <w:pgMar w:top="1021" w:right="1191" w:bottom="964" w:left="1191" w:header="567" w:footer="567" w:gutter="0"/>
          <w:cols w:space="425"/>
          <w:docGrid w:linePitch="360"/>
        </w:sectPr>
      </w:pPr>
      <w:r w:rsidRPr="00EC2ED0">
        <w:rPr>
          <w:rFonts w:eastAsia="함초롬바탕"/>
          <w:color w:val="000000" w:themeColor="text1"/>
          <w:spacing w:val="-2"/>
          <w:w w:val="98"/>
          <w:sz w:val="16"/>
          <w:szCs w:val="16"/>
        </w:rPr>
        <w:t>ULCI = Upper Limit Confidence Interval. Significance levels: *** p &lt; 0.001, ** p &lt; 0.01.</w:t>
      </w:r>
    </w:p>
    <w:p w14:paraId="7D7D1121" w14:textId="77777777" w:rsidR="00263431" w:rsidRPr="00EC2ED0" w:rsidRDefault="00263431" w:rsidP="001112CD">
      <w:pPr>
        <w:spacing w:line="338" w:lineRule="auto"/>
        <w:jc w:val="both"/>
        <w:rPr>
          <w:rFonts w:eastAsia="함초롬바탕"/>
          <w:color w:val="000000" w:themeColor="text1"/>
          <w:spacing w:val="-2"/>
          <w:w w:val="98"/>
          <w:sz w:val="2"/>
          <w:szCs w:val="2"/>
        </w:rPr>
      </w:pPr>
    </w:p>
    <w:p w14:paraId="2597F44F" w14:textId="497BE7F5" w:rsidR="00263431" w:rsidRPr="00EC2ED0" w:rsidRDefault="00263431" w:rsidP="001112CD">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 xml:space="preserve">The mediating roles were assessed using 95% bias-corrected bootstrap confidence intervals based on 5,000 resamples. The indirect effect of RE on SAT through EMP was 0.174. The confidence interval did not include zero. A significant mediation effect is therefore indicated. H4 is supported. The indirect effect through DOC was 0.153. The </w:t>
      </w:r>
      <w:r w:rsidRPr="00EC2ED0">
        <w:rPr>
          <w:rFonts w:eastAsia="함초롬바탕"/>
          <w:color w:val="000000" w:themeColor="text1"/>
          <w:spacing w:val="-2"/>
          <w:w w:val="98"/>
          <w:sz w:val="19"/>
          <w:szCs w:val="19"/>
        </w:rPr>
        <w:t>confidence interval also excluded zero. Accordingly, H7 is supported.</w:t>
      </w:r>
    </w:p>
    <w:p w14:paraId="1A6CBBA2" w14:textId="67BB3C5C" w:rsidR="000736CB" w:rsidRPr="00EC2ED0" w:rsidRDefault="00263431" w:rsidP="00625A8D">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 xml:space="preserve">The direct effect of RE on SAT (c′) was then evaluated. The coefficient was 0.185 with p = 0.095. This result is not statistically significant at conventional levels. However, the total effect (c) of RE on SAT remained significant (B = 0.512, t = 5.389). When mediators were introduced, the direct </w:t>
      </w:r>
      <w:r w:rsidRPr="00EC2ED0">
        <w:rPr>
          <w:rFonts w:eastAsia="함초롬바탕"/>
          <w:color w:val="000000" w:themeColor="text1"/>
          <w:spacing w:val="-2"/>
          <w:w w:val="98"/>
          <w:sz w:val="19"/>
          <w:szCs w:val="19"/>
        </w:rPr>
        <w:lastRenderedPageBreak/>
        <w:t>association weakened. This pattern is consistent with a full mediation structure under contemporary mediation criteria. Service Reliability functions as a foundational condition. Customer Satisfaction is primarily enhanced through execution capability rather than through direct perception alone. Consequently, H1 is not supported when mediators are included in the model.</w:t>
      </w:r>
    </w:p>
    <w:p w14:paraId="2645C4A5" w14:textId="77777777" w:rsidR="00C76B6E" w:rsidRPr="00EC2ED0" w:rsidRDefault="00C76B6E" w:rsidP="00625A8D">
      <w:pPr>
        <w:pStyle w:val="NoSpacing"/>
        <w:rPr>
          <w:color w:val="000000" w:themeColor="text1"/>
          <w:sz w:val="24"/>
          <w:szCs w:val="24"/>
        </w:rPr>
      </w:pPr>
    </w:p>
    <w:p w14:paraId="731FA14A" w14:textId="254013D6" w:rsidR="009470D0" w:rsidRPr="00EC2ED0" w:rsidRDefault="009470D0" w:rsidP="005C79B9">
      <w:pPr>
        <w:pStyle w:val="Heading1"/>
        <w:rPr>
          <w:color w:val="000000" w:themeColor="text1"/>
          <w:w w:val="98"/>
        </w:rPr>
      </w:pPr>
      <w:r w:rsidRPr="00EC2ED0">
        <w:rPr>
          <w:color w:val="000000" w:themeColor="text1"/>
          <w:w w:val="98"/>
        </w:rPr>
        <w:t>VI. Discussion</w:t>
      </w:r>
      <w:r w:rsidR="005C79B9" w:rsidRPr="00EC2ED0">
        <w:rPr>
          <w:color w:val="000000" w:themeColor="text1"/>
          <w:w w:val="98"/>
        </w:rPr>
        <w:t xml:space="preserve"> and Conclusion</w:t>
      </w:r>
    </w:p>
    <w:p w14:paraId="67881B35" w14:textId="1E925959" w:rsidR="00112C84" w:rsidRPr="00EC2ED0" w:rsidRDefault="00112C84" w:rsidP="00CD69B9">
      <w:pPr>
        <w:spacing w:line="360" w:lineRule="auto"/>
        <w:rPr>
          <w:rFonts w:eastAsia="함초롬바탕"/>
          <w:color w:val="000000" w:themeColor="text1"/>
          <w:spacing w:val="-2"/>
          <w:w w:val="98"/>
        </w:rPr>
      </w:pPr>
    </w:p>
    <w:p w14:paraId="6E054EE6" w14:textId="29A03403" w:rsidR="00122EDC" w:rsidRPr="00EC2ED0" w:rsidRDefault="00066A36" w:rsidP="00B75DCE">
      <w:pPr>
        <w:pStyle w:val="Heading2"/>
        <w:rPr>
          <w:color w:val="000000" w:themeColor="text1"/>
        </w:rPr>
      </w:pPr>
      <w:r w:rsidRPr="00EC2ED0">
        <w:rPr>
          <w:color w:val="000000" w:themeColor="text1"/>
        </w:rPr>
        <w:t xml:space="preserve">A. </w:t>
      </w:r>
      <w:r w:rsidR="00122EDC" w:rsidRPr="00EC2ED0">
        <w:rPr>
          <w:color w:val="000000" w:themeColor="text1"/>
        </w:rPr>
        <w:t>Summary of Key Findings</w:t>
      </w:r>
    </w:p>
    <w:p w14:paraId="749E593C" w14:textId="77777777" w:rsidR="00CD69B9" w:rsidRPr="00EC2ED0" w:rsidRDefault="00CD69B9" w:rsidP="00CD69B9">
      <w:pPr>
        <w:spacing w:line="360" w:lineRule="auto"/>
        <w:rPr>
          <w:rFonts w:eastAsia="함초롬바탕"/>
          <w:color w:val="000000" w:themeColor="text1"/>
          <w:spacing w:val="-2"/>
          <w:w w:val="98"/>
        </w:rPr>
      </w:pPr>
    </w:p>
    <w:p w14:paraId="62CE6DFE" w14:textId="04F47EE0" w:rsidR="0061692A" w:rsidRPr="00EC2ED0" w:rsidRDefault="00C53F06" w:rsidP="00992044">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The objective of this study was to examine how Logistics Service Quality translates into Customer Satisfaction in maritime FCL import services in Vietnam. The empirical findings reveal a structured mediation pattern. The total effect of Service Reliability on Customer Satisfaction is significant. However, the direct effect becomes statistically</w:t>
      </w:r>
    </w:p>
    <w:p w14:paraId="1E2C86B5" w14:textId="77777777" w:rsidR="0061692A" w:rsidRPr="00EC2ED0" w:rsidRDefault="0061692A" w:rsidP="0061692A">
      <w:pPr>
        <w:spacing w:line="338" w:lineRule="auto"/>
        <w:jc w:val="both"/>
        <w:rPr>
          <w:rFonts w:eastAsia="함초롬바탕"/>
          <w:color w:val="000000" w:themeColor="text1"/>
          <w:spacing w:val="-2"/>
          <w:w w:val="98"/>
          <w:sz w:val="19"/>
          <w:szCs w:val="19"/>
        </w:rPr>
      </w:pPr>
    </w:p>
    <w:p w14:paraId="14B74A16" w14:textId="07CB529A" w:rsidR="00C53F06" w:rsidRPr="00EC2ED0" w:rsidRDefault="00C53F06" w:rsidP="0061692A">
      <w:pPr>
        <w:spacing w:line="338" w:lineRule="auto"/>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insignificant when Employee Competence and Documentation Efficiency are introduced.</w:t>
      </w:r>
    </w:p>
    <w:p w14:paraId="052754E2" w14:textId="776016E3" w:rsidR="00122EDC" w:rsidRPr="00EC2ED0" w:rsidRDefault="00C53F06" w:rsidP="00992044">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This pattern indicates full mediation. Service Reliability operates as a necessary antecedent condition. Satisfaction is not shaped directly by abstract reliability perception. Instead, customers evaluate how reliability commitments are enacted through capable employees and accurate documentation. H4 and H7 are therefore supported. The process-based interpretation is reinforced. Reliability provides the structural promise. Execution mechanisms provide the experienced content.</w:t>
      </w:r>
    </w:p>
    <w:p w14:paraId="6DDF9218" w14:textId="77777777" w:rsidR="00BC1DD9" w:rsidRPr="00EC2ED0" w:rsidRDefault="00BC1DD9" w:rsidP="006424D3">
      <w:pPr>
        <w:spacing w:line="360" w:lineRule="auto"/>
        <w:ind w:firstLine="284"/>
        <w:rPr>
          <w:rFonts w:eastAsia="함초롬바탕"/>
          <w:color w:val="000000" w:themeColor="text1"/>
          <w:spacing w:val="-2"/>
          <w:w w:val="98"/>
        </w:rPr>
      </w:pPr>
    </w:p>
    <w:p w14:paraId="7BCC204D" w14:textId="2A67EA30" w:rsidR="00122EDC" w:rsidRPr="00EC2ED0" w:rsidRDefault="002D4A9B" w:rsidP="006424D3">
      <w:pPr>
        <w:pStyle w:val="Heading2"/>
        <w:rPr>
          <w:color w:val="000000" w:themeColor="text1"/>
          <w:w w:val="98"/>
        </w:rPr>
      </w:pPr>
      <w:r w:rsidRPr="00EC2ED0">
        <w:rPr>
          <w:color w:val="000000" w:themeColor="text1"/>
          <w:w w:val="98"/>
        </w:rPr>
        <w:t xml:space="preserve">B. </w:t>
      </w:r>
      <w:r w:rsidR="00122EDC" w:rsidRPr="00EC2ED0">
        <w:rPr>
          <w:color w:val="000000" w:themeColor="text1"/>
          <w:w w:val="98"/>
        </w:rPr>
        <w:t>Discussion of Hypotheses</w:t>
      </w:r>
    </w:p>
    <w:p w14:paraId="2469541B" w14:textId="77777777" w:rsidR="00BC1DD9" w:rsidRPr="00EC2ED0" w:rsidRDefault="00BC1DD9" w:rsidP="006424D3">
      <w:pPr>
        <w:spacing w:line="360" w:lineRule="auto"/>
        <w:ind w:firstLine="284"/>
        <w:rPr>
          <w:rFonts w:eastAsia="함초롬바탕"/>
          <w:b/>
          <w:bCs/>
          <w:color w:val="000000" w:themeColor="text1"/>
          <w:spacing w:val="-2"/>
          <w:w w:val="98"/>
        </w:rPr>
      </w:pPr>
    </w:p>
    <w:p w14:paraId="380E36CF" w14:textId="29C3BF97" w:rsidR="00314976" w:rsidRPr="00EC2ED0" w:rsidRDefault="00314976" w:rsidP="00D27CCB">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This study contributes to Logistics Service Quality literature in three ways.</w:t>
      </w:r>
    </w:p>
    <w:p w14:paraId="45CE94F2" w14:textId="70CD7773" w:rsidR="00314976" w:rsidRPr="00EC2ED0" w:rsidRDefault="00314976" w:rsidP="00314976">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 xml:space="preserve">First, the conceptualization of Service Reliability is refined. Prior research models reliability as a </w:t>
      </w:r>
      <w:r w:rsidRPr="00EC2ED0">
        <w:rPr>
          <w:rFonts w:eastAsia="함초롬바탕"/>
          <w:color w:val="000000" w:themeColor="text1"/>
          <w:spacing w:val="-2"/>
          <w:w w:val="98"/>
          <w:sz w:val="19"/>
          <w:szCs w:val="19"/>
        </w:rPr>
        <w:t>parallel predictor of satisfaction (Lin et al., 2023; Uvet, 2020). The present findings suggest a different interpretation. Reliability behaves as a baseline expectation rather than as a direct satisfaction driver (Tontini et al., 2017). In the Vietnamese import context, reliability is assumed. Its absence would create failure. Its presence alone does not generate strong evaluation. Satisfaction emerges when reliability is credibly enacted through execution.</w:t>
      </w:r>
    </w:p>
    <w:p w14:paraId="0571F308" w14:textId="156C769C" w:rsidR="00314976" w:rsidRPr="00EC2ED0" w:rsidRDefault="00314976" w:rsidP="00314976">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Second, Documentation Efficiency is established as a distinct execution construct. Traditional LSQ frameworks often subsume documentation under broader information quality dimensions (Mentzer et al., 2001). In FCL import operations, documentation performance has measurable impact (B = 0.298). Regulatory clearance and detention exposure make documentation decisive. By isolating this construct, the study extends LSQ theory into administrative execution dynamics. This aspect is often underexamined in developed-market research.</w:t>
      </w:r>
    </w:p>
    <w:p w14:paraId="58FE6BC9" w14:textId="2C225690" w:rsidR="00122EDC" w:rsidRPr="00EC2ED0" w:rsidRDefault="00314976" w:rsidP="00DA7D4C">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Third, the process-based mediation structure is empirically validated. Employee Competence (B = 0.385) functions as the primary human buffer against uncertainty (Fernandes et al., 2018). Satisfaction is therefore shaped by interpretive capability rather than by technical punctuality alone. The “black box” between reliability and satisfaction is partially opened. Execution capability explains how reliability expectations are translated into evaluative judgement.</w:t>
      </w:r>
    </w:p>
    <w:p w14:paraId="3379F695" w14:textId="486BD834" w:rsidR="00122EDC" w:rsidRPr="00EC2ED0" w:rsidRDefault="00122EDC" w:rsidP="00FE60E3">
      <w:pPr>
        <w:spacing w:line="360" w:lineRule="auto"/>
        <w:ind w:firstLine="284"/>
        <w:jc w:val="both"/>
        <w:rPr>
          <w:rFonts w:eastAsia="함초롬바탕"/>
          <w:color w:val="000000" w:themeColor="text1"/>
          <w:spacing w:val="-2"/>
          <w:w w:val="98"/>
        </w:rPr>
      </w:pPr>
    </w:p>
    <w:p w14:paraId="68F56F91" w14:textId="37451322" w:rsidR="00122EDC" w:rsidRPr="00EC2ED0" w:rsidRDefault="00EB36B0" w:rsidP="00FE60E3">
      <w:pPr>
        <w:pStyle w:val="Heading2"/>
        <w:jc w:val="both"/>
        <w:rPr>
          <w:color w:val="000000" w:themeColor="text1"/>
          <w:w w:val="98"/>
        </w:rPr>
      </w:pPr>
      <w:r w:rsidRPr="00EC2ED0">
        <w:rPr>
          <w:color w:val="000000" w:themeColor="text1"/>
          <w:w w:val="98"/>
        </w:rPr>
        <w:t xml:space="preserve">C. </w:t>
      </w:r>
      <w:r w:rsidR="00122EDC" w:rsidRPr="00EC2ED0">
        <w:rPr>
          <w:color w:val="000000" w:themeColor="text1"/>
          <w:w w:val="98"/>
        </w:rPr>
        <w:t>Managerial Implications</w:t>
      </w:r>
    </w:p>
    <w:p w14:paraId="251C63FF" w14:textId="77777777" w:rsidR="00EB36B0" w:rsidRPr="00EC2ED0" w:rsidRDefault="00EB36B0" w:rsidP="00FE60E3">
      <w:pPr>
        <w:spacing w:line="360" w:lineRule="auto"/>
        <w:ind w:firstLine="284"/>
        <w:jc w:val="both"/>
        <w:rPr>
          <w:rFonts w:eastAsia="함초롬바탕"/>
          <w:color w:val="000000" w:themeColor="text1"/>
          <w:spacing w:val="-2"/>
          <w:w w:val="98"/>
        </w:rPr>
      </w:pPr>
    </w:p>
    <w:p w14:paraId="45187AF9" w14:textId="6C3C5CEE" w:rsidR="006932E1" w:rsidRPr="00EC2ED0" w:rsidRDefault="006932E1" w:rsidP="006932E1">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The findings provide strategic direction for logistics service providers operating in emerging markets.</w:t>
      </w:r>
    </w:p>
    <w:p w14:paraId="57327C85" w14:textId="77777777" w:rsidR="006932E1" w:rsidRPr="00EC2ED0" w:rsidRDefault="006932E1" w:rsidP="006932E1">
      <w:pPr>
        <w:spacing w:line="338" w:lineRule="auto"/>
        <w:ind w:firstLine="284"/>
        <w:jc w:val="both"/>
        <w:rPr>
          <w:rFonts w:eastAsia="함초롬바탕"/>
          <w:color w:val="000000" w:themeColor="text1"/>
          <w:spacing w:val="-2"/>
          <w:w w:val="98"/>
          <w:sz w:val="19"/>
          <w:szCs w:val="19"/>
        </w:rPr>
      </w:pPr>
    </w:p>
    <w:p w14:paraId="15C37E38" w14:textId="41E8A79E" w:rsidR="006932E1" w:rsidRPr="00EC2ED0" w:rsidRDefault="006932E1" w:rsidP="00D60047">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 xml:space="preserve">First, reliability must be operationalized through human capability. Marketing reliability claims is insufficient. Investment should focus on Employee Competence. Training must include regulatory </w:t>
      </w:r>
      <w:r w:rsidRPr="00EC2ED0">
        <w:rPr>
          <w:rFonts w:eastAsia="함초롬바탕"/>
          <w:color w:val="000000" w:themeColor="text1"/>
          <w:spacing w:val="-2"/>
          <w:w w:val="98"/>
          <w:sz w:val="19"/>
          <w:szCs w:val="19"/>
        </w:rPr>
        <w:lastRenderedPageBreak/>
        <w:t>interpretation and disruption coordination. When deviations occur, employee performance determines whether reliability remains credible.</w:t>
      </w:r>
    </w:p>
    <w:p w14:paraId="03F0E2DB" w14:textId="15732D72" w:rsidR="006932E1" w:rsidRPr="00EC2ED0" w:rsidRDefault="006932E1" w:rsidP="00D60047">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Second, documentation should be treated as a strategic function. It is not a back-office task. Zero-defect documentation culture reduces uncertainty and strengthens satisfaction. Digital documentation systems and automated compliance checks can enhance execution stability.</w:t>
      </w:r>
    </w:p>
    <w:p w14:paraId="06FD8352" w14:textId="63CFDFE0" w:rsidR="00122EDC" w:rsidRPr="00EC2ED0" w:rsidRDefault="006932E1" w:rsidP="00CC3A04">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Third, firms should shift from static reliability messaging to dynamic recovery capability. Customers evaluate how deviations are handled. Therefore, operational recovery competence becomes more influential than promotional claims.</w:t>
      </w:r>
    </w:p>
    <w:p w14:paraId="46A39C0F" w14:textId="69A5B20C" w:rsidR="00122EDC" w:rsidRPr="00EC2ED0" w:rsidRDefault="00122EDC" w:rsidP="00FE60E3">
      <w:pPr>
        <w:spacing w:line="360" w:lineRule="auto"/>
        <w:ind w:firstLine="284"/>
        <w:jc w:val="both"/>
        <w:rPr>
          <w:rFonts w:eastAsia="함초롬바탕"/>
          <w:color w:val="000000" w:themeColor="text1"/>
          <w:spacing w:val="-2"/>
          <w:w w:val="98"/>
        </w:rPr>
      </w:pPr>
    </w:p>
    <w:p w14:paraId="0DA6B8EE" w14:textId="128D6887" w:rsidR="00122EDC" w:rsidRPr="00EC2ED0" w:rsidRDefault="004A5754" w:rsidP="00FE60E3">
      <w:pPr>
        <w:pStyle w:val="Heading2"/>
        <w:jc w:val="both"/>
        <w:rPr>
          <w:color w:val="000000" w:themeColor="text1"/>
          <w:w w:val="98"/>
        </w:rPr>
      </w:pPr>
      <w:r w:rsidRPr="00EC2ED0">
        <w:rPr>
          <w:color w:val="000000" w:themeColor="text1"/>
          <w:w w:val="98"/>
        </w:rPr>
        <w:t xml:space="preserve">D. </w:t>
      </w:r>
      <w:r w:rsidR="009A430B" w:rsidRPr="00EC2ED0">
        <w:rPr>
          <w:color w:val="000000" w:themeColor="text1"/>
          <w:w w:val="98"/>
        </w:rPr>
        <w:t>Policy implications</w:t>
      </w:r>
    </w:p>
    <w:p w14:paraId="35B51659" w14:textId="77777777" w:rsidR="006424D3" w:rsidRPr="00EC2ED0" w:rsidRDefault="006424D3" w:rsidP="00FE60E3">
      <w:pPr>
        <w:spacing w:line="360" w:lineRule="auto"/>
        <w:ind w:firstLine="284"/>
        <w:jc w:val="both"/>
        <w:rPr>
          <w:rFonts w:eastAsia="함초롬바탕"/>
          <w:color w:val="000000" w:themeColor="text1"/>
          <w:spacing w:val="-2"/>
          <w:w w:val="98"/>
        </w:rPr>
      </w:pPr>
    </w:p>
    <w:p w14:paraId="10566A19" w14:textId="686118C8" w:rsidR="005C52FA" w:rsidRPr="00EC2ED0" w:rsidRDefault="005C52FA" w:rsidP="005C52FA">
      <w:pPr>
        <w:spacing w:line="338" w:lineRule="auto"/>
        <w:ind w:firstLine="284"/>
        <w:jc w:val="both"/>
        <w:rPr>
          <w:rFonts w:eastAsia="함초롬바탕"/>
          <w:color w:val="000000" w:themeColor="text1"/>
          <w:spacing w:val="-2"/>
          <w:w w:val="98"/>
          <w:sz w:val="19"/>
          <w:szCs w:val="19"/>
        </w:rPr>
      </w:pPr>
      <w:bookmarkStart w:id="1" w:name="_Hlk193719528"/>
      <w:r w:rsidRPr="00EC2ED0">
        <w:rPr>
          <w:rFonts w:eastAsia="함초롬바탕"/>
          <w:color w:val="000000" w:themeColor="text1"/>
          <w:spacing w:val="-2"/>
          <w:w w:val="98"/>
          <w:sz w:val="19"/>
          <w:szCs w:val="19"/>
        </w:rPr>
        <w:t>The findings also carry policy relevance. Documentation Efficiency highlights administrative friction in import operations. Policymakers should accelerate digital trade facilitation mechanisms. National Single Window integration can reduce clearance delays. Administrative simplification supports both logistics providers and importers.</w:t>
      </w:r>
    </w:p>
    <w:p w14:paraId="274123F3" w14:textId="2527311A" w:rsidR="000D1749" w:rsidRPr="00EC2ED0" w:rsidRDefault="005C52FA" w:rsidP="001146AD">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Employee Competence indicates the importance of professional standardization. Industry associations should promote structured certification programs. Regulatory literacy and procedural expertise should be institutionalized. A stronger professional base increases systemic resilience.</w:t>
      </w:r>
    </w:p>
    <w:p w14:paraId="0B63F737" w14:textId="77777777" w:rsidR="00402FB6" w:rsidRPr="00EC2ED0" w:rsidRDefault="00402FB6" w:rsidP="001146AD">
      <w:pPr>
        <w:spacing w:line="338" w:lineRule="auto"/>
        <w:ind w:firstLine="284"/>
        <w:jc w:val="both"/>
        <w:rPr>
          <w:rFonts w:eastAsia="함초롬바탕"/>
          <w:color w:val="000000" w:themeColor="text1"/>
          <w:spacing w:val="-2"/>
          <w:w w:val="98"/>
        </w:rPr>
      </w:pPr>
    </w:p>
    <w:p w14:paraId="56727FCA" w14:textId="77777777" w:rsidR="00402FB6" w:rsidRPr="00EC2ED0" w:rsidRDefault="00402FB6" w:rsidP="00402FB6">
      <w:pPr>
        <w:pStyle w:val="Heading1"/>
        <w:rPr>
          <w:color w:val="000000" w:themeColor="text1"/>
          <w:w w:val="98"/>
        </w:rPr>
      </w:pPr>
      <w:r w:rsidRPr="00EC2ED0">
        <w:rPr>
          <w:color w:val="000000" w:themeColor="text1"/>
          <w:w w:val="98"/>
        </w:rPr>
        <w:t>E. Limitations and Future Research</w:t>
      </w:r>
    </w:p>
    <w:p w14:paraId="019D5A21" w14:textId="77777777" w:rsidR="00402FB6" w:rsidRPr="00EC2ED0" w:rsidRDefault="00402FB6" w:rsidP="00402FB6">
      <w:pPr>
        <w:spacing w:line="338" w:lineRule="auto"/>
        <w:ind w:firstLine="284"/>
        <w:jc w:val="both"/>
        <w:rPr>
          <w:rFonts w:eastAsia="함초롬바탕"/>
          <w:color w:val="000000" w:themeColor="text1"/>
          <w:spacing w:val="-2"/>
          <w:w w:val="98"/>
        </w:rPr>
      </w:pPr>
    </w:p>
    <w:p w14:paraId="237693C1" w14:textId="46401A11" w:rsidR="00402FB6" w:rsidRPr="00EC2ED0" w:rsidRDefault="00402FB6" w:rsidP="00B01250">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This study has limitations. The sample size is modest (N = 75). Bootstrap procedures were applied to enhance robustness. However, larger samples would allow covariance-based model estimation. Future research should test the structure with expanded datasets.</w:t>
      </w:r>
    </w:p>
    <w:p w14:paraId="3721E918" w14:textId="2434E128" w:rsidR="00402FB6" w:rsidRPr="00EC2ED0" w:rsidRDefault="00402FB6" w:rsidP="00B01250">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 xml:space="preserve">The design is cross-sectional. Temporal dynamics are not captured. Longitudinal designs </w:t>
      </w:r>
      <w:r w:rsidRPr="00EC2ED0">
        <w:rPr>
          <w:rFonts w:eastAsia="함초롬바탕"/>
          <w:color w:val="000000" w:themeColor="text1"/>
          <w:spacing w:val="-2"/>
          <w:w w:val="98"/>
          <w:sz w:val="19"/>
          <w:szCs w:val="19"/>
        </w:rPr>
        <w:t>would allow assessment of how execution importance evolves over time.</w:t>
      </w:r>
    </w:p>
    <w:p w14:paraId="16AB06EB" w14:textId="44780113" w:rsidR="00402FB6" w:rsidRPr="00EC2ED0" w:rsidRDefault="00402FB6" w:rsidP="000E3187">
      <w:pPr>
        <w:spacing w:line="338" w:lineRule="auto"/>
        <w:ind w:firstLine="284"/>
        <w:jc w:val="both"/>
        <w:rPr>
          <w:rFonts w:eastAsia="함초롬바탕"/>
          <w:color w:val="000000" w:themeColor="text1"/>
          <w:spacing w:val="-2"/>
          <w:w w:val="98"/>
          <w:sz w:val="19"/>
          <w:szCs w:val="19"/>
        </w:rPr>
      </w:pPr>
      <w:r w:rsidRPr="00EC2ED0">
        <w:rPr>
          <w:rFonts w:eastAsia="함초롬바탕"/>
          <w:color w:val="000000" w:themeColor="text1"/>
          <w:spacing w:val="-2"/>
          <w:w w:val="98"/>
          <w:sz w:val="19"/>
          <w:szCs w:val="19"/>
        </w:rPr>
        <w:t>Finally, Service Reliability was interpreted as a baseline expectation based on mediation evidence. This interpretation remains inferential. Future research could explicitly test non-linear or asymmetric effects using Kano-based modeling. Such investigation would clarify whether reliability truly functions as a must-be factor in maritime logistics.</w:t>
      </w:r>
    </w:p>
    <w:p w14:paraId="19F7B2F4" w14:textId="77777777" w:rsidR="00067C5C" w:rsidRPr="00EC2ED0" w:rsidRDefault="00067C5C" w:rsidP="00FE60E3">
      <w:pPr>
        <w:spacing w:line="360" w:lineRule="auto"/>
        <w:ind w:firstLine="284"/>
        <w:jc w:val="both"/>
        <w:rPr>
          <w:rFonts w:eastAsia="함초롬바탕"/>
          <w:b/>
          <w:bCs/>
          <w:color w:val="000000" w:themeColor="text1"/>
          <w:position w:val="2"/>
        </w:rPr>
      </w:pPr>
    </w:p>
    <w:p w14:paraId="5340B19F" w14:textId="35BCCE3F" w:rsidR="000D408E" w:rsidRPr="00EC2ED0" w:rsidRDefault="000D408E" w:rsidP="00FE60E3">
      <w:pPr>
        <w:pStyle w:val="Heading1"/>
        <w:jc w:val="both"/>
        <w:rPr>
          <w:rFonts w:ascii="Constantia" w:eastAsia="함초롬바탕" w:hAnsi="Constantia" w:cs="Gulim"/>
          <w:b/>
          <w:bCs/>
          <w:color w:val="000000" w:themeColor="text1"/>
          <w:position w:val="2"/>
          <w:sz w:val="16"/>
          <w:szCs w:val="16"/>
        </w:rPr>
      </w:pPr>
      <w:r w:rsidRPr="00EC2ED0">
        <w:rPr>
          <w:color w:val="000000" w:themeColor="text1"/>
        </w:rPr>
        <w:t xml:space="preserve">Funding </w:t>
      </w:r>
      <w:r w:rsidR="005F4ECB" w:rsidRPr="00EC2ED0">
        <w:rPr>
          <w:color w:val="000000" w:themeColor="text1"/>
        </w:rPr>
        <w:t>Acknowledgement</w:t>
      </w:r>
      <w:r w:rsidR="005F4ECB" w:rsidRPr="00EC2ED0">
        <w:rPr>
          <w:rFonts w:hint="eastAsia"/>
          <w:color w:val="000000" w:themeColor="text1"/>
        </w:rPr>
        <w:t xml:space="preserve"> </w:t>
      </w:r>
      <w:r w:rsidRPr="00EC2ED0">
        <w:rPr>
          <w:color w:val="000000" w:themeColor="text1"/>
        </w:rPr>
        <w:t>Statement</w:t>
      </w:r>
      <w:bookmarkEnd w:id="1"/>
    </w:p>
    <w:p w14:paraId="68C20E61" w14:textId="77777777" w:rsidR="00A54CD9" w:rsidRPr="00EC2ED0" w:rsidRDefault="00A54CD9" w:rsidP="00FE60E3">
      <w:pPr>
        <w:spacing w:line="360" w:lineRule="auto"/>
        <w:ind w:left="400" w:hanging="400"/>
        <w:jc w:val="both"/>
        <w:textAlignment w:val="baseline"/>
        <w:rPr>
          <w:rFonts w:eastAsia="휴먼명조"/>
          <w:color w:val="000000" w:themeColor="text1"/>
        </w:rPr>
      </w:pPr>
    </w:p>
    <w:p w14:paraId="3D46EA3D" w14:textId="718B239A" w:rsidR="006E28A1" w:rsidRPr="00EC2ED0" w:rsidRDefault="00022D0C" w:rsidP="00FE60E3">
      <w:pPr>
        <w:spacing w:line="338" w:lineRule="auto"/>
        <w:ind w:firstLine="200"/>
        <w:jc w:val="both"/>
        <w:textAlignment w:val="center"/>
        <w:rPr>
          <w:rFonts w:eastAsia="함초롬바탕"/>
          <w:color w:val="000000" w:themeColor="text1"/>
          <w:spacing w:val="-4"/>
          <w:w w:val="98"/>
          <w:sz w:val="19"/>
          <w:szCs w:val="19"/>
        </w:rPr>
      </w:pPr>
      <w:r w:rsidRPr="00EC2ED0">
        <w:rPr>
          <w:rFonts w:eastAsia="함초롬바탕"/>
          <w:color w:val="000000" w:themeColor="text1"/>
          <w:spacing w:val="-4"/>
          <w:w w:val="98"/>
          <w:sz w:val="19"/>
          <w:szCs w:val="19"/>
        </w:rPr>
        <w:t>This research did not receive any specific grant from funding agencies in the public, commercial, or not-for-profit sectors</w:t>
      </w:r>
      <w:r w:rsidR="00DC06AB" w:rsidRPr="00EC2ED0">
        <w:rPr>
          <w:rFonts w:eastAsia="함초롬바탕"/>
          <w:color w:val="000000" w:themeColor="text1"/>
          <w:spacing w:val="-4"/>
          <w:w w:val="98"/>
          <w:sz w:val="19"/>
          <w:szCs w:val="19"/>
        </w:rPr>
        <w:t>.</w:t>
      </w:r>
    </w:p>
    <w:p w14:paraId="2F401122" w14:textId="77777777" w:rsidR="00A54CD9" w:rsidRPr="00EC2ED0" w:rsidRDefault="00A54CD9" w:rsidP="00FE60E3">
      <w:pPr>
        <w:spacing w:line="360" w:lineRule="auto"/>
        <w:ind w:firstLine="200"/>
        <w:jc w:val="both"/>
        <w:textAlignment w:val="center"/>
        <w:rPr>
          <w:rFonts w:eastAsia="함초롬바탕"/>
          <w:color w:val="000000" w:themeColor="text1"/>
          <w:spacing w:val="-4"/>
          <w:w w:val="98"/>
        </w:rPr>
      </w:pPr>
    </w:p>
    <w:p w14:paraId="5F6A0D08" w14:textId="15E2A47E" w:rsidR="000D408E" w:rsidRPr="00EC2ED0" w:rsidRDefault="000D408E" w:rsidP="00FE60E3">
      <w:pPr>
        <w:pStyle w:val="Heading1"/>
        <w:jc w:val="both"/>
        <w:rPr>
          <w:rFonts w:ascii="함초롬바탕" w:eastAsia="Gulim" w:hAnsi="Gulim" w:cs="Gulim"/>
          <w:color w:val="000000" w:themeColor="text1"/>
          <w:szCs w:val="20"/>
        </w:rPr>
      </w:pPr>
      <w:r w:rsidRPr="00EC2ED0">
        <w:rPr>
          <w:color w:val="000000" w:themeColor="text1"/>
        </w:rPr>
        <w:t>Conflicts of Interest</w:t>
      </w:r>
    </w:p>
    <w:p w14:paraId="6F7B6FF3" w14:textId="77777777" w:rsidR="000D408E" w:rsidRPr="00EC2ED0" w:rsidRDefault="000D408E" w:rsidP="00FE60E3">
      <w:pPr>
        <w:spacing w:line="360" w:lineRule="auto"/>
        <w:jc w:val="both"/>
        <w:textAlignment w:val="center"/>
        <w:rPr>
          <w:rFonts w:eastAsia="Gulim"/>
          <w:color w:val="000000" w:themeColor="text1"/>
          <w:spacing w:val="-2"/>
          <w:w w:val="98"/>
        </w:rPr>
      </w:pPr>
    </w:p>
    <w:p w14:paraId="7A3339D1" w14:textId="573E3C9C" w:rsidR="006379EA" w:rsidRPr="00EC2ED0" w:rsidRDefault="00F0590F" w:rsidP="009B77C9">
      <w:pPr>
        <w:spacing w:line="338" w:lineRule="auto"/>
        <w:ind w:firstLine="284"/>
        <w:jc w:val="both"/>
        <w:textAlignment w:val="center"/>
        <w:rPr>
          <w:rFonts w:eastAsia="함초롬바탕"/>
          <w:color w:val="000000" w:themeColor="text1"/>
          <w:spacing w:val="-4"/>
          <w:w w:val="98"/>
          <w:sz w:val="19"/>
          <w:szCs w:val="19"/>
        </w:rPr>
      </w:pPr>
      <w:r w:rsidRPr="00EC2ED0">
        <w:rPr>
          <w:rFonts w:eastAsia="함초롬바탕"/>
          <w:color w:val="000000" w:themeColor="text1"/>
          <w:spacing w:val="-4"/>
          <w:w w:val="98"/>
          <w:sz w:val="19"/>
          <w:szCs w:val="19"/>
        </w:rPr>
        <w:t>No potential conflict of interest was reported by the author(s).</w:t>
      </w:r>
    </w:p>
    <w:p w14:paraId="3658F290" w14:textId="77777777" w:rsidR="002661B1" w:rsidRPr="00EC2ED0" w:rsidRDefault="002661B1" w:rsidP="00FE60E3">
      <w:pPr>
        <w:jc w:val="both"/>
        <w:rPr>
          <w:color w:val="000000" w:themeColor="text1"/>
        </w:rPr>
      </w:pPr>
    </w:p>
    <w:p w14:paraId="6644681C" w14:textId="0D5E4520" w:rsidR="000D408E" w:rsidRPr="00EC2ED0" w:rsidRDefault="000D408E" w:rsidP="00FE60E3">
      <w:pPr>
        <w:pStyle w:val="Heading1"/>
        <w:jc w:val="both"/>
        <w:rPr>
          <w:rFonts w:ascii="함초롬바탕" w:eastAsia="Gulim" w:hAnsi="Gulim" w:cs="Gulim"/>
          <w:color w:val="000000" w:themeColor="text1"/>
          <w:szCs w:val="20"/>
        </w:rPr>
      </w:pPr>
      <w:r w:rsidRPr="00EC2ED0">
        <w:rPr>
          <w:color w:val="000000" w:themeColor="text1"/>
        </w:rPr>
        <w:t>References</w:t>
      </w:r>
    </w:p>
    <w:p w14:paraId="5F52E86E" w14:textId="77777777" w:rsidR="000D408E" w:rsidRPr="00EC2ED0" w:rsidRDefault="000D408E" w:rsidP="00FE60E3">
      <w:pPr>
        <w:spacing w:line="360" w:lineRule="auto"/>
        <w:jc w:val="both"/>
        <w:textAlignment w:val="center"/>
        <w:rPr>
          <w:rFonts w:eastAsia="Gulim"/>
          <w:color w:val="000000" w:themeColor="text1"/>
          <w:spacing w:val="-2"/>
          <w:w w:val="98"/>
        </w:rPr>
      </w:pPr>
    </w:p>
    <w:p w14:paraId="6831CB8E"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Basu, P., &amp; Ray, P. (2022). China-plus-one: expanding global value chains. </w:t>
      </w:r>
      <w:r w:rsidRPr="00EC2ED0">
        <w:rPr>
          <w:rFonts w:eastAsia="함초롬바탕"/>
          <w:i/>
          <w:iCs/>
          <w:color w:val="000000" w:themeColor="text1"/>
          <w:spacing w:val="-10"/>
          <w:sz w:val="17"/>
          <w:szCs w:val="17"/>
        </w:rPr>
        <w:t>Journal of Business Strategy</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43</w:t>
      </w:r>
      <w:r w:rsidRPr="00EC2ED0">
        <w:rPr>
          <w:rFonts w:eastAsia="함초롬바탕"/>
          <w:color w:val="000000" w:themeColor="text1"/>
          <w:spacing w:val="-10"/>
          <w:sz w:val="17"/>
          <w:szCs w:val="17"/>
        </w:rPr>
        <w:t>(6), 350-356.</w:t>
      </w:r>
    </w:p>
    <w:p w14:paraId="7E590D05" w14:textId="77122EA2" w:rsidR="008256C7" w:rsidRPr="00EC2ED0" w:rsidRDefault="008256C7"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Vickery, S. K., Castel, M. J., Narayanan, S., &amp; Nicolae, M. L. (2025). A Model of Hospital Patient Engagement for Value Co‐Creation: Does It Affect Performance? A US Hospital Industry Study. </w:t>
      </w:r>
      <w:r w:rsidRPr="00EC2ED0">
        <w:rPr>
          <w:rFonts w:eastAsia="함초롬바탕"/>
          <w:i/>
          <w:iCs/>
          <w:color w:val="000000" w:themeColor="text1"/>
          <w:spacing w:val="-10"/>
          <w:sz w:val="17"/>
          <w:szCs w:val="17"/>
        </w:rPr>
        <w:t>Journal of Operations Management</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71</w:t>
      </w:r>
      <w:r w:rsidRPr="00EC2ED0">
        <w:rPr>
          <w:rFonts w:eastAsia="함초롬바탕"/>
          <w:color w:val="000000" w:themeColor="text1"/>
          <w:spacing w:val="-10"/>
          <w:sz w:val="17"/>
          <w:szCs w:val="17"/>
        </w:rPr>
        <w:t>(8), 1222-1248.</w:t>
      </w:r>
    </w:p>
    <w:p w14:paraId="3E0444B2" w14:textId="0C3CC9D1" w:rsidR="00CF24AC" w:rsidRPr="00EC2ED0" w:rsidRDefault="00CF24AC"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Pellathy, D. A., Mollenkopf, D. A., Stank, T. P., &amp; Autry, C. W. (2019). Cross‐Functional integration: concept clarification and scale development. </w:t>
      </w:r>
      <w:r w:rsidRPr="00EC2ED0">
        <w:rPr>
          <w:rFonts w:eastAsia="함초롬바탕"/>
          <w:i/>
          <w:iCs/>
          <w:color w:val="000000" w:themeColor="text1"/>
          <w:spacing w:val="-10"/>
          <w:sz w:val="17"/>
          <w:szCs w:val="17"/>
        </w:rPr>
        <w:t>Journal of Business Logistics</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40</w:t>
      </w:r>
      <w:r w:rsidRPr="00EC2ED0">
        <w:rPr>
          <w:rFonts w:eastAsia="함초롬바탕"/>
          <w:color w:val="000000" w:themeColor="text1"/>
          <w:spacing w:val="-10"/>
          <w:sz w:val="17"/>
          <w:szCs w:val="17"/>
        </w:rPr>
        <w:t>(2), 81-104.</w:t>
      </w:r>
    </w:p>
    <w:p w14:paraId="595B07C3"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Dhar, B. K., Tiep Le, T., Coffelt, T. A., &amp; Shaturaev, J. (2023). US‐China trade war and competitive advantage of Vietnam. </w:t>
      </w:r>
      <w:r w:rsidRPr="00EC2ED0">
        <w:rPr>
          <w:rFonts w:eastAsia="함초롬바탕"/>
          <w:i/>
          <w:iCs/>
          <w:color w:val="000000" w:themeColor="text1"/>
          <w:spacing w:val="-10"/>
          <w:sz w:val="17"/>
          <w:szCs w:val="17"/>
        </w:rPr>
        <w:t>Thunderbird International Business Review</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65</w:t>
      </w:r>
      <w:r w:rsidRPr="00EC2ED0">
        <w:rPr>
          <w:rFonts w:eastAsia="함초롬바탕"/>
          <w:color w:val="000000" w:themeColor="text1"/>
          <w:spacing w:val="-10"/>
          <w:sz w:val="17"/>
          <w:szCs w:val="17"/>
        </w:rPr>
        <w:t>(2), 255-263.</w:t>
      </w:r>
    </w:p>
    <w:p w14:paraId="1445A360"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Dinh, A. B. H., Nguyen, D. T. H., &amp; Vo, Q. T. H. (2025). Leveraging IT and Culture for Enhanced Logistics Capability and Performance. </w:t>
      </w:r>
      <w:r w:rsidRPr="00EC2ED0">
        <w:rPr>
          <w:rFonts w:eastAsia="함초롬바탕"/>
          <w:i/>
          <w:iCs/>
          <w:color w:val="000000" w:themeColor="text1"/>
          <w:spacing w:val="-10"/>
          <w:sz w:val="17"/>
          <w:szCs w:val="17"/>
        </w:rPr>
        <w:t>Journal of Distribution Science</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23</w:t>
      </w:r>
      <w:r w:rsidRPr="00EC2ED0">
        <w:rPr>
          <w:rFonts w:eastAsia="함초롬바탕"/>
          <w:color w:val="000000" w:themeColor="text1"/>
          <w:spacing w:val="-10"/>
          <w:sz w:val="17"/>
          <w:szCs w:val="17"/>
        </w:rPr>
        <w:t>(4), 13-23.</w:t>
      </w:r>
    </w:p>
    <w:p w14:paraId="4E99640E"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Fernandes, D. W., Moori, R. G., &amp; Filho, V. A. V. (2018). Logistic service quality as a mediator between logistics </w:t>
      </w:r>
      <w:r w:rsidRPr="00EC2ED0">
        <w:rPr>
          <w:rFonts w:eastAsia="함초롬바탕"/>
          <w:color w:val="000000" w:themeColor="text1"/>
          <w:spacing w:val="-10"/>
          <w:sz w:val="17"/>
          <w:szCs w:val="17"/>
        </w:rPr>
        <w:lastRenderedPageBreak/>
        <w:t>capabilities and customer satisfaction. </w:t>
      </w:r>
      <w:r w:rsidRPr="00EC2ED0">
        <w:rPr>
          <w:rFonts w:eastAsia="함초롬바탕"/>
          <w:i/>
          <w:iCs/>
          <w:color w:val="000000" w:themeColor="text1"/>
          <w:spacing w:val="-10"/>
          <w:sz w:val="17"/>
          <w:szCs w:val="17"/>
        </w:rPr>
        <w:t>Revista de Gestão</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25</w:t>
      </w:r>
      <w:r w:rsidRPr="00EC2ED0">
        <w:rPr>
          <w:rFonts w:eastAsia="함초롬바탕"/>
          <w:color w:val="000000" w:themeColor="text1"/>
          <w:spacing w:val="-10"/>
          <w:sz w:val="17"/>
          <w:szCs w:val="17"/>
        </w:rPr>
        <w:t>(4), 358-372.</w:t>
      </w:r>
    </w:p>
    <w:p w14:paraId="6DA0402E"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Fernandes, D. W., Moori, R. G., &amp; Vitorino Filho, V. A. (2018). Logistic service quality as a mediator between logistics capabilities and customer satisfaction. </w:t>
      </w:r>
      <w:r w:rsidRPr="00EC2ED0">
        <w:rPr>
          <w:rFonts w:eastAsia="함초롬바탕"/>
          <w:i/>
          <w:iCs/>
          <w:color w:val="000000" w:themeColor="text1"/>
          <w:spacing w:val="-10"/>
          <w:sz w:val="17"/>
          <w:szCs w:val="17"/>
        </w:rPr>
        <w:t>Revista de Gestão</w:t>
      </w:r>
      <w:r w:rsidRPr="00EC2ED0">
        <w:rPr>
          <w:rFonts w:eastAsia="함초롬바탕"/>
          <w:color w:val="000000" w:themeColor="text1"/>
          <w:spacing w:val="-10"/>
          <w:sz w:val="17"/>
          <w:szCs w:val="17"/>
        </w:rPr>
        <w:t xml:space="preserve">, </w:t>
      </w:r>
      <w:r w:rsidRPr="00EC2ED0">
        <w:rPr>
          <w:rFonts w:eastAsia="함초롬바탕"/>
          <w:i/>
          <w:iCs/>
          <w:color w:val="000000" w:themeColor="text1"/>
          <w:spacing w:val="-10"/>
          <w:sz w:val="17"/>
          <w:szCs w:val="17"/>
        </w:rPr>
        <w:t>25</w:t>
      </w:r>
      <w:r w:rsidRPr="00EC2ED0">
        <w:rPr>
          <w:rFonts w:eastAsia="함초롬바탕"/>
          <w:color w:val="000000" w:themeColor="text1"/>
          <w:spacing w:val="-10"/>
          <w:sz w:val="17"/>
          <w:szCs w:val="17"/>
        </w:rPr>
        <w:t>(4), 358–372.</w:t>
      </w:r>
    </w:p>
    <w:p w14:paraId="37CB0F69"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Huang, S. T., Bulut, E., &amp; Duru, O. (2019). Service quality evaluation of international freight forwarders: An empirical research in East Asia. </w:t>
      </w:r>
      <w:r w:rsidRPr="00EC2ED0">
        <w:rPr>
          <w:rFonts w:eastAsia="함초롬바탕"/>
          <w:i/>
          <w:iCs/>
          <w:color w:val="000000" w:themeColor="text1"/>
          <w:spacing w:val="-10"/>
          <w:sz w:val="17"/>
          <w:szCs w:val="17"/>
        </w:rPr>
        <w:t>Journal of Shipping and Trade</w:t>
      </w:r>
      <w:r w:rsidRPr="00EC2ED0">
        <w:rPr>
          <w:rFonts w:eastAsia="함초롬바탕"/>
          <w:color w:val="000000" w:themeColor="text1"/>
          <w:spacing w:val="-10"/>
          <w:sz w:val="17"/>
          <w:szCs w:val="17"/>
        </w:rPr>
        <w:t xml:space="preserve">, </w:t>
      </w:r>
      <w:r w:rsidRPr="00EC2ED0">
        <w:rPr>
          <w:rFonts w:eastAsia="함초롬바탕"/>
          <w:i/>
          <w:iCs/>
          <w:color w:val="000000" w:themeColor="text1"/>
          <w:spacing w:val="-10"/>
          <w:sz w:val="17"/>
          <w:szCs w:val="17"/>
        </w:rPr>
        <w:t>4</w:t>
      </w:r>
      <w:r w:rsidRPr="00EC2ED0">
        <w:rPr>
          <w:rFonts w:eastAsia="함초롬바탕"/>
          <w:color w:val="000000" w:themeColor="text1"/>
          <w:spacing w:val="-10"/>
          <w:sz w:val="17"/>
          <w:szCs w:val="17"/>
        </w:rPr>
        <w:t>(14), 1–16.</w:t>
      </w:r>
    </w:p>
    <w:p w14:paraId="041AFBCD"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Huynh, T. N., Nguyen, P. V., Doan, N. P., Tran, K. T., &amp; Nguyen, T. C. (2024). Navigating challenges in Vietnamese enterprises: An examination of the interplay between environmental regulations, organizational innovation, resilience, learning support, and performance. </w:t>
      </w:r>
      <w:r w:rsidRPr="00EC2ED0">
        <w:rPr>
          <w:rFonts w:eastAsia="함초롬바탕"/>
          <w:i/>
          <w:iCs/>
          <w:color w:val="000000" w:themeColor="text1"/>
          <w:spacing w:val="-10"/>
          <w:sz w:val="17"/>
          <w:szCs w:val="17"/>
        </w:rPr>
        <w:t>Plos one</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19</w:t>
      </w:r>
      <w:r w:rsidRPr="00EC2ED0">
        <w:rPr>
          <w:rFonts w:eastAsia="함초롬바탕"/>
          <w:color w:val="000000" w:themeColor="text1"/>
          <w:spacing w:val="-10"/>
          <w:sz w:val="17"/>
          <w:szCs w:val="17"/>
        </w:rPr>
        <w:t>(12), e0313075.</w:t>
      </w:r>
    </w:p>
    <w:p w14:paraId="544BD9FA"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Kilibarda, M., Andrejić, M., &amp; Popović, V. (2020). Research in logistics service quality: A systematic literature review. </w:t>
      </w:r>
      <w:r w:rsidRPr="00EC2ED0">
        <w:rPr>
          <w:rFonts w:eastAsia="함초롬바탕"/>
          <w:i/>
          <w:iCs/>
          <w:color w:val="000000" w:themeColor="text1"/>
          <w:spacing w:val="-10"/>
          <w:sz w:val="17"/>
          <w:szCs w:val="17"/>
        </w:rPr>
        <w:t>Transport</w:t>
      </w:r>
      <w:r w:rsidRPr="00EC2ED0">
        <w:rPr>
          <w:rFonts w:eastAsia="함초롬바탕"/>
          <w:color w:val="000000" w:themeColor="text1"/>
          <w:spacing w:val="-10"/>
          <w:sz w:val="17"/>
          <w:szCs w:val="17"/>
        </w:rPr>
        <w:t xml:space="preserve">, </w:t>
      </w:r>
      <w:r w:rsidRPr="00EC2ED0">
        <w:rPr>
          <w:rFonts w:eastAsia="함초롬바탕"/>
          <w:i/>
          <w:iCs/>
          <w:color w:val="000000" w:themeColor="text1"/>
          <w:spacing w:val="-10"/>
          <w:sz w:val="17"/>
          <w:szCs w:val="17"/>
        </w:rPr>
        <w:t>35</w:t>
      </w:r>
      <w:r w:rsidRPr="00EC2ED0">
        <w:rPr>
          <w:rFonts w:eastAsia="함초롬바탕"/>
          <w:color w:val="000000" w:themeColor="text1"/>
          <w:spacing w:val="-10"/>
          <w:sz w:val="17"/>
          <w:szCs w:val="17"/>
        </w:rPr>
        <w:t>(2), 224–235.</w:t>
      </w:r>
    </w:p>
    <w:p w14:paraId="7CF624D5"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Kułyk, P., Michałowska, M., &amp; Kotylak, S. (2017). Assessment of customer satisfaction with logistics service in the light of the results of the research. </w:t>
      </w:r>
      <w:r w:rsidRPr="00EC2ED0">
        <w:rPr>
          <w:rFonts w:eastAsia="함초롬바탕"/>
          <w:i/>
          <w:iCs/>
          <w:color w:val="000000" w:themeColor="text1"/>
          <w:spacing w:val="-10"/>
          <w:sz w:val="17"/>
          <w:szCs w:val="17"/>
        </w:rPr>
        <w:t>Management</w:t>
      </w:r>
      <w:r w:rsidRPr="00EC2ED0">
        <w:rPr>
          <w:rFonts w:eastAsia="함초롬바탕"/>
          <w:color w:val="000000" w:themeColor="text1"/>
          <w:spacing w:val="-10"/>
          <w:sz w:val="17"/>
          <w:szCs w:val="17"/>
        </w:rPr>
        <w:t xml:space="preserve">, </w:t>
      </w:r>
      <w:r w:rsidRPr="00EC2ED0">
        <w:rPr>
          <w:rFonts w:eastAsia="함초롬바탕"/>
          <w:i/>
          <w:iCs/>
          <w:color w:val="000000" w:themeColor="text1"/>
          <w:spacing w:val="-10"/>
          <w:sz w:val="17"/>
          <w:szCs w:val="17"/>
        </w:rPr>
        <w:t>21</w:t>
      </w:r>
      <w:r w:rsidRPr="00EC2ED0">
        <w:rPr>
          <w:rFonts w:eastAsia="함초롬바탕"/>
          <w:color w:val="000000" w:themeColor="text1"/>
          <w:spacing w:val="-10"/>
          <w:sz w:val="17"/>
          <w:szCs w:val="17"/>
        </w:rPr>
        <w:t>(1), 205–223.</w:t>
      </w:r>
    </w:p>
    <w:p w14:paraId="09EFF77E"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Le, D. N., Nguyen, H. T., &amp; Truong, P. H. (2020). Port logistics service quality and customer satisfaction: Empirical evidence from Vietnam. </w:t>
      </w:r>
      <w:r w:rsidRPr="00EC2ED0">
        <w:rPr>
          <w:rFonts w:eastAsia="함초롬바탕"/>
          <w:i/>
          <w:iCs/>
          <w:color w:val="000000" w:themeColor="text1"/>
          <w:spacing w:val="-10"/>
          <w:sz w:val="17"/>
          <w:szCs w:val="17"/>
        </w:rPr>
        <w:t>The Asian Journal of Shipping and Logistics</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36</w:t>
      </w:r>
      <w:r w:rsidRPr="00EC2ED0">
        <w:rPr>
          <w:rFonts w:eastAsia="함초롬바탕"/>
          <w:color w:val="000000" w:themeColor="text1"/>
          <w:spacing w:val="-10"/>
          <w:sz w:val="17"/>
          <w:szCs w:val="17"/>
        </w:rPr>
        <w:t>(2), 89-103.</w:t>
      </w:r>
    </w:p>
    <w:p w14:paraId="55F656D8"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Lee, S. H., &amp; Kim, S. R. (2024). The role of Korean food delivery apps as a third-party logistics provider: Focusing on self-determination theory. </w:t>
      </w:r>
      <w:r w:rsidRPr="00EC2ED0">
        <w:rPr>
          <w:rFonts w:eastAsia="함초롬바탕"/>
          <w:i/>
          <w:iCs/>
          <w:color w:val="000000" w:themeColor="text1"/>
          <w:spacing w:val="-10"/>
          <w:sz w:val="17"/>
          <w:szCs w:val="17"/>
        </w:rPr>
        <w:t>Global Business &amp; Finance Review (GBFR)</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29</w:t>
      </w:r>
      <w:r w:rsidRPr="00EC2ED0">
        <w:rPr>
          <w:rFonts w:eastAsia="함초롬바탕"/>
          <w:color w:val="000000" w:themeColor="text1"/>
          <w:spacing w:val="-10"/>
          <w:sz w:val="17"/>
          <w:szCs w:val="17"/>
        </w:rPr>
        <w:t>(5), 187-201.</w:t>
      </w:r>
    </w:p>
    <w:p w14:paraId="666E6D8A"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Lin, X., Mamun, A. A., Yang, Q., &amp; Masukujjaman, M. (2023). Examining the effect of logistics service quality on customer satisfaction and re-use intention. </w:t>
      </w:r>
      <w:r w:rsidRPr="00EC2ED0">
        <w:rPr>
          <w:rFonts w:eastAsia="함초롬바탕"/>
          <w:i/>
          <w:iCs/>
          <w:color w:val="000000" w:themeColor="text1"/>
          <w:spacing w:val="-10"/>
          <w:sz w:val="17"/>
          <w:szCs w:val="17"/>
        </w:rPr>
        <w:t>PloS one</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18</w:t>
      </w:r>
      <w:r w:rsidRPr="00EC2ED0">
        <w:rPr>
          <w:rFonts w:eastAsia="함초롬바탕"/>
          <w:color w:val="000000" w:themeColor="text1"/>
          <w:spacing w:val="-10"/>
          <w:sz w:val="17"/>
          <w:szCs w:val="17"/>
        </w:rPr>
        <w:t>(5), e0286382.</w:t>
      </w:r>
    </w:p>
    <w:p w14:paraId="356D3581"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Magsi, A., &amp; Siddiqui, S. M. F. (2025). Enhancing consumer satisfaction and loyalty: The role of logistics performance, technology utilization, and employee competence in shaping store image. </w:t>
      </w:r>
      <w:r w:rsidRPr="00EC2ED0">
        <w:rPr>
          <w:rFonts w:eastAsia="함초롬바탕"/>
          <w:i/>
          <w:iCs/>
          <w:color w:val="000000" w:themeColor="text1"/>
          <w:spacing w:val="-10"/>
          <w:sz w:val="17"/>
          <w:szCs w:val="17"/>
        </w:rPr>
        <w:t>International Journal of Social Sciences Bulletin</w:t>
      </w:r>
      <w:r w:rsidRPr="00EC2ED0">
        <w:rPr>
          <w:rFonts w:eastAsia="함초롬바탕"/>
          <w:color w:val="000000" w:themeColor="text1"/>
          <w:spacing w:val="-10"/>
          <w:sz w:val="17"/>
          <w:szCs w:val="17"/>
        </w:rPr>
        <w:t xml:space="preserve">, </w:t>
      </w:r>
      <w:r w:rsidRPr="00EC2ED0">
        <w:rPr>
          <w:rFonts w:eastAsia="함초롬바탕"/>
          <w:i/>
          <w:iCs/>
          <w:color w:val="000000" w:themeColor="text1"/>
          <w:spacing w:val="-10"/>
          <w:sz w:val="17"/>
          <w:szCs w:val="17"/>
        </w:rPr>
        <w:t>3</w:t>
      </w:r>
      <w:r w:rsidRPr="00EC2ED0">
        <w:rPr>
          <w:rFonts w:eastAsia="함초롬바탕"/>
          <w:color w:val="000000" w:themeColor="text1"/>
          <w:spacing w:val="-10"/>
          <w:sz w:val="17"/>
          <w:szCs w:val="17"/>
        </w:rPr>
        <w:t>(4), 468–492.</w:t>
      </w:r>
    </w:p>
    <w:p w14:paraId="39AA5EB2"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Mentzer, J. T., Flint, D. J., &amp; Hult, G. T. M. (2001). Logistics service quality as a segment-customized process. </w:t>
      </w:r>
      <w:r w:rsidRPr="00EC2ED0">
        <w:rPr>
          <w:rFonts w:eastAsia="함초롬바탕"/>
          <w:i/>
          <w:iCs/>
          <w:color w:val="000000" w:themeColor="text1"/>
          <w:spacing w:val="-10"/>
          <w:sz w:val="17"/>
          <w:szCs w:val="17"/>
        </w:rPr>
        <w:t>Journal of Marketing</w:t>
      </w:r>
      <w:r w:rsidRPr="00EC2ED0">
        <w:rPr>
          <w:rFonts w:eastAsia="함초롬바탕"/>
          <w:color w:val="000000" w:themeColor="text1"/>
          <w:spacing w:val="-10"/>
          <w:sz w:val="17"/>
          <w:szCs w:val="17"/>
        </w:rPr>
        <w:t xml:space="preserve">, </w:t>
      </w:r>
      <w:r w:rsidRPr="00EC2ED0">
        <w:rPr>
          <w:rFonts w:eastAsia="함초롬바탕"/>
          <w:i/>
          <w:iCs/>
          <w:color w:val="000000" w:themeColor="text1"/>
          <w:spacing w:val="-10"/>
          <w:sz w:val="17"/>
          <w:szCs w:val="17"/>
        </w:rPr>
        <w:t>65</w:t>
      </w:r>
      <w:r w:rsidRPr="00EC2ED0">
        <w:rPr>
          <w:rFonts w:eastAsia="함초롬바탕"/>
          <w:color w:val="000000" w:themeColor="text1"/>
          <w:spacing w:val="-10"/>
          <w:sz w:val="17"/>
          <w:szCs w:val="17"/>
        </w:rPr>
        <w:t>(4), 82–104.</w:t>
      </w:r>
    </w:p>
    <w:p w14:paraId="03FA4007"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Phan, K. T., Dat, N. H. T., &amp; Van Hai, H. (2025). A Bibliometric Analysis of the Relationship Between Green Logistics Management Practices and Firm Performance. </w:t>
      </w:r>
      <w:r w:rsidRPr="00EC2ED0">
        <w:rPr>
          <w:rFonts w:eastAsia="함초롬바탕"/>
          <w:i/>
          <w:iCs/>
          <w:color w:val="000000" w:themeColor="text1"/>
          <w:spacing w:val="-10"/>
          <w:sz w:val="17"/>
          <w:szCs w:val="17"/>
        </w:rPr>
        <w:t>Global Business &amp; Finance Review</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30</w:t>
      </w:r>
      <w:r w:rsidRPr="00EC2ED0">
        <w:rPr>
          <w:rFonts w:eastAsia="함초롬바탕"/>
          <w:color w:val="000000" w:themeColor="text1"/>
          <w:spacing w:val="-10"/>
          <w:sz w:val="17"/>
          <w:szCs w:val="17"/>
        </w:rPr>
        <w:t>(4), 1.</w:t>
      </w:r>
    </w:p>
    <w:p w14:paraId="174BF3E4"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Purwoko, H., Thamrin, H. M., Yuliyanto, A., &amp; Sembiring, H. A. (2022). Analysis of the elements of logistics customer service in freight forwarding. </w:t>
      </w:r>
      <w:r w:rsidRPr="00EC2ED0">
        <w:rPr>
          <w:rFonts w:eastAsia="함초롬바탕"/>
          <w:i/>
          <w:iCs/>
          <w:color w:val="000000" w:themeColor="text1"/>
          <w:spacing w:val="-10"/>
          <w:sz w:val="17"/>
          <w:szCs w:val="17"/>
        </w:rPr>
        <w:t>Jurnal Manajemen Bisnis Transportasi dan Logistik</w:t>
      </w:r>
      <w:r w:rsidRPr="00EC2ED0">
        <w:rPr>
          <w:rFonts w:eastAsia="함초롬바탕"/>
          <w:color w:val="000000" w:themeColor="text1"/>
          <w:spacing w:val="-10"/>
          <w:sz w:val="17"/>
          <w:szCs w:val="17"/>
        </w:rPr>
        <w:t xml:space="preserve">, </w:t>
      </w:r>
      <w:r w:rsidRPr="00EC2ED0">
        <w:rPr>
          <w:rFonts w:eastAsia="함초롬바탕"/>
          <w:i/>
          <w:iCs/>
          <w:color w:val="000000" w:themeColor="text1"/>
          <w:spacing w:val="-10"/>
          <w:sz w:val="17"/>
          <w:szCs w:val="17"/>
        </w:rPr>
        <w:t>8</w:t>
      </w:r>
      <w:r w:rsidRPr="00EC2ED0">
        <w:rPr>
          <w:rFonts w:eastAsia="함초롬바탕"/>
          <w:color w:val="000000" w:themeColor="text1"/>
          <w:spacing w:val="-10"/>
          <w:sz w:val="17"/>
          <w:szCs w:val="17"/>
        </w:rPr>
        <w:t>(2), 25–29.</w:t>
      </w:r>
    </w:p>
    <w:p w14:paraId="57D83AE2"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Roh, S., Haddoud, M. Y., Onjewu, A. K. E., Jang, H., &amp; Thai, V. (2025). Revisiting the impact of container port service quality on customer satisfaction: A configuration approach. </w:t>
      </w:r>
      <w:r w:rsidRPr="00EC2ED0">
        <w:rPr>
          <w:rFonts w:eastAsia="함초롬바탕"/>
          <w:i/>
          <w:iCs/>
          <w:color w:val="000000" w:themeColor="text1"/>
          <w:spacing w:val="-10"/>
          <w:sz w:val="17"/>
          <w:szCs w:val="17"/>
        </w:rPr>
        <w:t>Transport Policy</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162</w:t>
      </w:r>
      <w:r w:rsidRPr="00EC2ED0">
        <w:rPr>
          <w:rFonts w:eastAsia="함초롬바탕"/>
          <w:color w:val="000000" w:themeColor="text1"/>
          <w:spacing w:val="-10"/>
          <w:sz w:val="17"/>
          <w:szCs w:val="17"/>
        </w:rPr>
        <w:t>, 221-231.</w:t>
      </w:r>
    </w:p>
    <w:p w14:paraId="1D57CDC4"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Ruangtip, P., Rueboon, W., Jornkokgoud, K., &amp; Faysal, M. (2024). The role of trust in mediating the effect of blockchain </w:t>
      </w:r>
      <w:r w:rsidRPr="00EC2ED0">
        <w:rPr>
          <w:rFonts w:eastAsia="함초롬바탕"/>
          <w:color w:val="000000" w:themeColor="text1"/>
          <w:spacing w:val="-10"/>
          <w:sz w:val="17"/>
          <w:szCs w:val="17"/>
        </w:rPr>
        <w:t>and e-payment on logistics 4.0 and supply chain capabilities in Thailand. </w:t>
      </w:r>
      <w:r w:rsidRPr="00EC2ED0">
        <w:rPr>
          <w:rFonts w:eastAsia="함초롬바탕"/>
          <w:i/>
          <w:iCs/>
          <w:color w:val="000000" w:themeColor="text1"/>
          <w:spacing w:val="-10"/>
          <w:sz w:val="17"/>
          <w:szCs w:val="17"/>
        </w:rPr>
        <w:t>Global Business &amp; Finance Review (GBFR)</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29</w:t>
      </w:r>
      <w:r w:rsidRPr="00EC2ED0">
        <w:rPr>
          <w:rFonts w:eastAsia="함초롬바탕"/>
          <w:color w:val="000000" w:themeColor="text1"/>
          <w:spacing w:val="-10"/>
          <w:sz w:val="17"/>
          <w:szCs w:val="17"/>
        </w:rPr>
        <w:t>(7), 168-182.</w:t>
      </w:r>
    </w:p>
    <w:p w14:paraId="07AF2086"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Sharma, A. M., Batra, D., &amp; Sharma, S. (2024). Documentation in logistics sustainability–challenges and opportunities. </w:t>
      </w:r>
      <w:r w:rsidRPr="00EC2ED0">
        <w:rPr>
          <w:rFonts w:eastAsia="함초롬바탕"/>
          <w:i/>
          <w:iCs/>
          <w:color w:val="000000" w:themeColor="text1"/>
          <w:spacing w:val="-10"/>
          <w:sz w:val="17"/>
          <w:szCs w:val="17"/>
        </w:rPr>
        <w:t>Supply Chain Management</w:t>
      </w:r>
      <w:r w:rsidRPr="00EC2ED0">
        <w:rPr>
          <w:rFonts w:eastAsia="함초롬바탕"/>
          <w:color w:val="000000" w:themeColor="text1"/>
          <w:spacing w:val="-10"/>
          <w:sz w:val="17"/>
          <w:szCs w:val="17"/>
        </w:rPr>
        <w:t>, 231-250.</w:t>
      </w:r>
    </w:p>
    <w:p w14:paraId="647F6FA5"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Stank, T. P., Goldsby, T. J., Vickery, S. K., &amp; Savitskie, K. (2003). Logistics service performance: Estimating its influence on market share. </w:t>
      </w:r>
      <w:r w:rsidRPr="00EC2ED0">
        <w:rPr>
          <w:rFonts w:eastAsia="함초롬바탕"/>
          <w:i/>
          <w:iCs/>
          <w:color w:val="000000" w:themeColor="text1"/>
          <w:spacing w:val="-10"/>
          <w:sz w:val="17"/>
          <w:szCs w:val="17"/>
        </w:rPr>
        <w:t>Journal of Business Logistics</w:t>
      </w:r>
      <w:r w:rsidRPr="00EC2ED0">
        <w:rPr>
          <w:rFonts w:eastAsia="함초롬바탕"/>
          <w:color w:val="000000" w:themeColor="text1"/>
          <w:spacing w:val="-10"/>
          <w:sz w:val="17"/>
          <w:szCs w:val="17"/>
        </w:rPr>
        <w:t xml:space="preserve">, </w:t>
      </w:r>
      <w:r w:rsidRPr="00EC2ED0">
        <w:rPr>
          <w:rFonts w:eastAsia="함초롬바탕"/>
          <w:i/>
          <w:iCs/>
          <w:color w:val="000000" w:themeColor="text1"/>
          <w:spacing w:val="-10"/>
          <w:sz w:val="17"/>
          <w:szCs w:val="17"/>
        </w:rPr>
        <w:t>24</w:t>
      </w:r>
      <w:r w:rsidRPr="00EC2ED0">
        <w:rPr>
          <w:rFonts w:eastAsia="함초롬바탕"/>
          <w:color w:val="000000" w:themeColor="text1"/>
          <w:spacing w:val="-10"/>
          <w:sz w:val="17"/>
          <w:szCs w:val="17"/>
        </w:rPr>
        <w:t>(1), 27–55.</w:t>
      </w:r>
    </w:p>
    <w:p w14:paraId="07EB0B46"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Thai, V. V. (2013). Logistics service quality: Conceptual model and empirical evidence. </w:t>
      </w:r>
      <w:r w:rsidRPr="00EC2ED0">
        <w:rPr>
          <w:rFonts w:eastAsia="함초롬바탕"/>
          <w:i/>
          <w:iCs/>
          <w:color w:val="000000" w:themeColor="text1"/>
          <w:spacing w:val="-10"/>
          <w:sz w:val="17"/>
          <w:szCs w:val="17"/>
        </w:rPr>
        <w:t>International Journal of Logistics Research and Applications</w:t>
      </w:r>
      <w:r w:rsidRPr="00EC2ED0">
        <w:rPr>
          <w:rFonts w:eastAsia="함초롬바탕"/>
          <w:color w:val="000000" w:themeColor="text1"/>
          <w:spacing w:val="-10"/>
          <w:sz w:val="17"/>
          <w:szCs w:val="17"/>
        </w:rPr>
        <w:t xml:space="preserve">, </w:t>
      </w:r>
      <w:r w:rsidRPr="00EC2ED0">
        <w:rPr>
          <w:rFonts w:eastAsia="함초롬바탕"/>
          <w:i/>
          <w:iCs/>
          <w:color w:val="000000" w:themeColor="text1"/>
          <w:spacing w:val="-10"/>
          <w:sz w:val="17"/>
          <w:szCs w:val="17"/>
        </w:rPr>
        <w:t>16</w:t>
      </w:r>
      <w:r w:rsidRPr="00EC2ED0">
        <w:rPr>
          <w:rFonts w:eastAsia="함초롬바탕"/>
          <w:color w:val="000000" w:themeColor="text1"/>
          <w:spacing w:val="-10"/>
          <w:sz w:val="17"/>
          <w:szCs w:val="17"/>
        </w:rPr>
        <w:t>(2), 114–131.</w:t>
      </w:r>
    </w:p>
    <w:p w14:paraId="5F1C3958"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Thai, V. V., Grewal, D., &amp; Chen, S. (2021). The impact of container shipping consolidation on service quality, brand awareness, customer satisfaction, and customer loyalty: an exploratory study. </w:t>
      </w:r>
      <w:r w:rsidRPr="00EC2ED0">
        <w:rPr>
          <w:rFonts w:eastAsia="함초롬바탕"/>
          <w:i/>
          <w:iCs/>
          <w:color w:val="000000" w:themeColor="text1"/>
          <w:spacing w:val="-10"/>
          <w:sz w:val="17"/>
          <w:szCs w:val="17"/>
        </w:rPr>
        <w:t>Marine Research</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1</w:t>
      </w:r>
      <w:r w:rsidRPr="00EC2ED0">
        <w:rPr>
          <w:rFonts w:eastAsia="함초롬바탕"/>
          <w:color w:val="000000" w:themeColor="text1"/>
          <w:spacing w:val="-10"/>
          <w:sz w:val="17"/>
          <w:szCs w:val="17"/>
        </w:rPr>
        <w:t>(1), 37-59.</w:t>
      </w:r>
    </w:p>
    <w:p w14:paraId="58D0D8A8"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Tontini, G., Söilen, K. S., &amp; Zanchett, R. (2017). Nonlinear antecedents of customer satisfaction and loyalty in third-party logistics services (3PL). </w:t>
      </w:r>
      <w:r w:rsidRPr="00EC2ED0">
        <w:rPr>
          <w:rFonts w:eastAsia="함초롬바탕"/>
          <w:i/>
          <w:iCs/>
          <w:color w:val="000000" w:themeColor="text1"/>
          <w:spacing w:val="-10"/>
          <w:sz w:val="17"/>
          <w:szCs w:val="17"/>
        </w:rPr>
        <w:t>Asia Pacific Journal of Marketing and Logistics</w:t>
      </w:r>
      <w:r w:rsidRPr="00EC2ED0">
        <w:rPr>
          <w:rFonts w:eastAsia="함초롬바탕"/>
          <w:color w:val="000000" w:themeColor="text1"/>
          <w:spacing w:val="-10"/>
          <w:sz w:val="17"/>
          <w:szCs w:val="17"/>
        </w:rPr>
        <w:t xml:space="preserve">, </w:t>
      </w:r>
      <w:r w:rsidRPr="00EC2ED0">
        <w:rPr>
          <w:rFonts w:eastAsia="함초롬바탕"/>
          <w:i/>
          <w:iCs/>
          <w:color w:val="000000" w:themeColor="text1"/>
          <w:spacing w:val="-10"/>
          <w:sz w:val="17"/>
          <w:szCs w:val="17"/>
        </w:rPr>
        <w:t>29</w:t>
      </w:r>
      <w:r w:rsidRPr="00EC2ED0">
        <w:rPr>
          <w:rFonts w:eastAsia="함초롬바탕"/>
          <w:color w:val="000000" w:themeColor="text1"/>
          <w:spacing w:val="-10"/>
          <w:sz w:val="17"/>
          <w:szCs w:val="17"/>
        </w:rPr>
        <w:t>(5), 1116–1135.</w:t>
      </w:r>
    </w:p>
    <w:p w14:paraId="5F149041"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Tri, N. C. (2024). The impact of industry 4.0 adoption barriers on supply chain capacity and operational efficiency: empirical evidence in Vietnamese Transport Logistics Industry. </w:t>
      </w:r>
      <w:r w:rsidRPr="00EC2ED0">
        <w:rPr>
          <w:rFonts w:eastAsia="함초롬바탕"/>
          <w:i/>
          <w:iCs/>
          <w:color w:val="000000" w:themeColor="text1"/>
          <w:spacing w:val="-10"/>
          <w:sz w:val="17"/>
          <w:szCs w:val="17"/>
        </w:rPr>
        <w:t>Global Business &amp; Finance Review (GBFR)</w:t>
      </w:r>
      <w:r w:rsidRPr="00EC2ED0">
        <w:rPr>
          <w:rFonts w:eastAsia="함초롬바탕"/>
          <w:color w:val="000000" w:themeColor="text1"/>
          <w:spacing w:val="-10"/>
          <w:sz w:val="17"/>
          <w:szCs w:val="17"/>
        </w:rPr>
        <w:t>, </w:t>
      </w:r>
      <w:r w:rsidRPr="00EC2ED0">
        <w:rPr>
          <w:rFonts w:eastAsia="함초롬바탕"/>
          <w:i/>
          <w:iCs/>
          <w:color w:val="000000" w:themeColor="text1"/>
          <w:spacing w:val="-10"/>
          <w:sz w:val="17"/>
          <w:szCs w:val="17"/>
        </w:rPr>
        <w:t>29</w:t>
      </w:r>
      <w:r w:rsidRPr="00EC2ED0">
        <w:rPr>
          <w:rFonts w:eastAsia="함초롬바탕"/>
          <w:color w:val="000000" w:themeColor="text1"/>
          <w:spacing w:val="-10"/>
          <w:sz w:val="17"/>
          <w:szCs w:val="17"/>
        </w:rPr>
        <w:t>(7), 126-139.</w:t>
      </w:r>
    </w:p>
    <w:p w14:paraId="32EEE4AE"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Uvet, H. (2020). Importance of logistics service quality in customer satisfaction: An empirical study. </w:t>
      </w:r>
      <w:r w:rsidRPr="00EC2ED0">
        <w:rPr>
          <w:rFonts w:eastAsia="함초롬바탕"/>
          <w:i/>
          <w:iCs/>
          <w:color w:val="000000" w:themeColor="text1"/>
          <w:spacing w:val="-10"/>
          <w:sz w:val="17"/>
          <w:szCs w:val="17"/>
        </w:rPr>
        <w:t>Operations and Supply Chain Management</w:t>
      </w:r>
      <w:r w:rsidRPr="00EC2ED0">
        <w:rPr>
          <w:rFonts w:eastAsia="함초롬바탕"/>
          <w:color w:val="000000" w:themeColor="text1"/>
          <w:spacing w:val="-10"/>
          <w:sz w:val="17"/>
          <w:szCs w:val="17"/>
        </w:rPr>
        <w:t xml:space="preserve">, </w:t>
      </w:r>
      <w:r w:rsidRPr="00EC2ED0">
        <w:rPr>
          <w:rFonts w:eastAsia="함초롬바탕"/>
          <w:i/>
          <w:iCs/>
          <w:color w:val="000000" w:themeColor="text1"/>
          <w:spacing w:val="-10"/>
          <w:sz w:val="17"/>
          <w:szCs w:val="17"/>
        </w:rPr>
        <w:t>13</w:t>
      </w:r>
      <w:r w:rsidRPr="00EC2ED0">
        <w:rPr>
          <w:rFonts w:eastAsia="함초롬바탕"/>
          <w:color w:val="000000" w:themeColor="text1"/>
          <w:spacing w:val="-10"/>
          <w:sz w:val="17"/>
          <w:szCs w:val="17"/>
        </w:rPr>
        <w:t>(1), 1–10.</w:t>
      </w:r>
    </w:p>
    <w:p w14:paraId="11C7C39A"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Vy, N. H. Y. L., Thanh, T. L. P., &amp; Quanh, V. T. H. (2025). </w:t>
      </w:r>
      <w:r w:rsidRPr="00EC2ED0">
        <w:rPr>
          <w:rFonts w:eastAsia="함초롬바탕"/>
          <w:i/>
          <w:iCs/>
          <w:color w:val="000000" w:themeColor="text1"/>
          <w:spacing w:val="-10"/>
          <w:sz w:val="17"/>
          <w:szCs w:val="17"/>
        </w:rPr>
        <w:t>Comparative analysis and framework development for global innovation ecosystems: Insights from the bay area, Europe and China</w:t>
      </w:r>
      <w:r w:rsidRPr="00EC2ED0">
        <w:rPr>
          <w:rFonts w:eastAsia="함초롬바탕"/>
          <w:color w:val="000000" w:themeColor="text1"/>
          <w:spacing w:val="-10"/>
          <w:sz w:val="17"/>
          <w:szCs w:val="17"/>
        </w:rPr>
        <w:t>. Multidisciplinary Science Journal, 8(4), 2026236.</w:t>
      </w:r>
    </w:p>
    <w:p w14:paraId="343EC95D"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Yuen, K. F., &amp; Thai, V. V. (2015). Service quality and customer satisfaction in liner shipping. </w:t>
      </w:r>
      <w:r w:rsidRPr="00EC2ED0">
        <w:rPr>
          <w:rFonts w:eastAsia="함초롬바탕"/>
          <w:i/>
          <w:iCs/>
          <w:color w:val="000000" w:themeColor="text1"/>
          <w:spacing w:val="-10"/>
          <w:sz w:val="17"/>
          <w:szCs w:val="17"/>
        </w:rPr>
        <w:t>International Journal of Quality and Service Sciences</w:t>
      </w:r>
      <w:r w:rsidRPr="00EC2ED0">
        <w:rPr>
          <w:rFonts w:eastAsia="함초롬바탕"/>
          <w:color w:val="000000" w:themeColor="text1"/>
          <w:spacing w:val="-10"/>
          <w:sz w:val="17"/>
          <w:szCs w:val="17"/>
        </w:rPr>
        <w:t xml:space="preserve">, </w:t>
      </w:r>
      <w:r w:rsidRPr="00EC2ED0">
        <w:rPr>
          <w:rFonts w:eastAsia="함초롬바탕"/>
          <w:i/>
          <w:iCs/>
          <w:color w:val="000000" w:themeColor="text1"/>
          <w:spacing w:val="-10"/>
          <w:sz w:val="17"/>
          <w:szCs w:val="17"/>
        </w:rPr>
        <w:t>7</w:t>
      </w:r>
      <w:r w:rsidRPr="00EC2ED0">
        <w:rPr>
          <w:rFonts w:eastAsia="함초롬바탕"/>
          <w:color w:val="000000" w:themeColor="text1"/>
          <w:spacing w:val="-10"/>
          <w:sz w:val="17"/>
          <w:szCs w:val="17"/>
        </w:rPr>
        <w:t>(2–3), 170–183.</w:t>
      </w:r>
    </w:p>
    <w:p w14:paraId="67BFCFBF" w14:textId="77777777" w:rsidR="00B91A2A" w:rsidRPr="00EC2ED0" w:rsidRDefault="00B91A2A" w:rsidP="00FE60E3">
      <w:pPr>
        <w:spacing w:after="60" w:line="276" w:lineRule="auto"/>
        <w:ind w:left="200" w:hanging="200"/>
        <w:jc w:val="both"/>
        <w:textAlignment w:val="baseline"/>
        <w:rPr>
          <w:rFonts w:eastAsia="함초롬바탕"/>
          <w:color w:val="000000" w:themeColor="text1"/>
          <w:spacing w:val="-10"/>
          <w:sz w:val="17"/>
          <w:szCs w:val="17"/>
        </w:rPr>
      </w:pPr>
      <w:r w:rsidRPr="00EC2ED0">
        <w:rPr>
          <w:rFonts w:eastAsia="함초롬바탕"/>
          <w:color w:val="000000" w:themeColor="text1"/>
          <w:spacing w:val="-10"/>
          <w:sz w:val="17"/>
          <w:szCs w:val="17"/>
        </w:rPr>
        <w:t xml:space="preserve">Zailani, S., Jafarzadeh, S., Iranmanesh, M., Nikbin, D., &amp; Selim, N. I. I. (2018). Halal logistics service quality: Conceptual model and empirical evidence. </w:t>
      </w:r>
      <w:r w:rsidRPr="00EC2ED0">
        <w:rPr>
          <w:rFonts w:eastAsia="함초롬바탕"/>
          <w:i/>
          <w:iCs/>
          <w:color w:val="000000" w:themeColor="text1"/>
          <w:spacing w:val="-10"/>
          <w:sz w:val="17"/>
          <w:szCs w:val="17"/>
        </w:rPr>
        <w:t>British Food Journal</w:t>
      </w:r>
      <w:r w:rsidRPr="00EC2ED0">
        <w:rPr>
          <w:rFonts w:eastAsia="함초롬바탕"/>
          <w:color w:val="000000" w:themeColor="text1"/>
          <w:spacing w:val="-10"/>
          <w:sz w:val="17"/>
          <w:szCs w:val="17"/>
        </w:rPr>
        <w:t xml:space="preserve">, </w:t>
      </w:r>
      <w:r w:rsidRPr="00EC2ED0">
        <w:rPr>
          <w:rFonts w:eastAsia="함초롬바탕"/>
          <w:i/>
          <w:iCs/>
          <w:color w:val="000000" w:themeColor="text1"/>
          <w:spacing w:val="-10"/>
          <w:sz w:val="17"/>
          <w:szCs w:val="17"/>
        </w:rPr>
        <w:t>120</w:t>
      </w:r>
      <w:r w:rsidRPr="00EC2ED0">
        <w:rPr>
          <w:rFonts w:eastAsia="함초롬바탕"/>
          <w:color w:val="000000" w:themeColor="text1"/>
          <w:spacing w:val="-10"/>
          <w:sz w:val="17"/>
          <w:szCs w:val="17"/>
        </w:rPr>
        <w:t>(11), 2599–2614.</w:t>
      </w:r>
    </w:p>
    <w:p w14:paraId="0AABA2E6" w14:textId="6981E3AF" w:rsidR="00EE5376" w:rsidRPr="00EC2ED0" w:rsidRDefault="000D408E" w:rsidP="00EE5376">
      <w:pPr>
        <w:spacing w:after="60" w:line="276" w:lineRule="auto"/>
        <w:ind w:left="200" w:hanging="200"/>
        <w:textAlignment w:val="baseline"/>
        <w:rPr>
          <w:rFonts w:ascii="함초롬바탕" w:eastAsia="Gulim" w:hAnsi="Gulim" w:cs="Gulim"/>
          <w:color w:val="000000" w:themeColor="text1"/>
          <w:szCs w:val="20"/>
        </w:rPr>
      </w:pPr>
      <w:r w:rsidRPr="00EC2ED0">
        <w:rPr>
          <w:rFonts w:ascii="함초롬바탕" w:eastAsia="Gulim" w:hAnsi="Gulim" w:cs="Gulim"/>
          <w:color w:val="000000" w:themeColor="text1"/>
          <w:szCs w:val="20"/>
        </w:rPr>
        <w:br/>
      </w:r>
    </w:p>
    <w:p w14:paraId="71BAEC65" w14:textId="63159C54" w:rsidR="000D408E" w:rsidRPr="00EC2ED0" w:rsidRDefault="000D408E" w:rsidP="000D408E">
      <w:pPr>
        <w:spacing w:after="60" w:line="276" w:lineRule="auto"/>
        <w:ind w:left="200" w:hanging="200"/>
        <w:textAlignment w:val="baseline"/>
        <w:rPr>
          <w:rFonts w:ascii="함초롬바탕" w:eastAsia="Gulim" w:hAnsi="Gulim" w:cs="Gulim"/>
          <w:color w:val="000000" w:themeColor="text1"/>
          <w:szCs w:val="20"/>
        </w:rPr>
      </w:pPr>
    </w:p>
    <w:p w14:paraId="6ED91FEC" w14:textId="77777777" w:rsidR="000D408E" w:rsidRPr="00EC2ED0" w:rsidRDefault="000D408E">
      <w:pPr>
        <w:rPr>
          <w:color w:val="000000" w:themeColor="text1"/>
        </w:rPr>
      </w:pPr>
    </w:p>
    <w:sectPr w:rsidR="000D408E" w:rsidRPr="00EC2ED0" w:rsidSect="000D408E">
      <w:type w:val="continuous"/>
      <w:pgSz w:w="10438" w:h="15122" w:code="7"/>
      <w:pgMar w:top="1021" w:right="1191" w:bottom="964" w:left="1191" w:header="567" w:footer="567"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183DB" w14:textId="77777777" w:rsidR="009161DC" w:rsidRDefault="009161DC" w:rsidP="00A641C5">
      <w:r>
        <w:separator/>
      </w:r>
    </w:p>
  </w:endnote>
  <w:endnote w:type="continuationSeparator" w:id="0">
    <w:p w14:paraId="1E1F7561" w14:textId="77777777" w:rsidR="009161DC" w:rsidRDefault="009161DC" w:rsidP="00A64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휴먼명조">
    <w:altName w:val="Malgun Gothic"/>
    <w:charset w:val="81"/>
    <w:family w:val="auto"/>
    <w:pitch w:val="variable"/>
    <w:sig w:usb0="800002A7" w:usb1="19D77CFB"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KoPubWorld바탕체 Light">
    <w:altName w:val="Malgun Gothic Semilight"/>
    <w:panose1 w:val="00000000000000000000"/>
    <w:charset w:val="81"/>
    <w:family w:val="roman"/>
    <w:notTrueType/>
    <w:pitch w:val="default"/>
    <w:sig w:usb0="00000001" w:usb1="09060000" w:usb2="00000010" w:usb3="00000000" w:csb0="00080000" w:csb1="00000000"/>
  </w:font>
  <w:font w:name="함초롬바탕">
    <w:altName w:val="Malgun Gothic Semilight"/>
    <w:charset w:val="81"/>
    <w:family w:val="roman"/>
    <w:pitch w:val="variable"/>
    <w:sig w:usb0="F7002EFF" w:usb1="19DFFFFF" w:usb2="001BFDD7" w:usb3="00000000" w:csb0="001F01FF" w:csb1="00000000"/>
  </w:font>
  <w:font w:name="Gulim">
    <w:altName w:val="굴림"/>
    <w:panose1 w:val="020B0600000101010101"/>
    <w:charset w:val="81"/>
    <w:family w:val="swiss"/>
    <w:pitch w:val="variable"/>
    <w:sig w:usb0="B00002AF" w:usb1="69D77CFB" w:usb2="00000030" w:usb3="00000000" w:csb0="0008009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4A745" w14:textId="6CFDCD60" w:rsidR="00A641C5" w:rsidRPr="00A641C5" w:rsidRDefault="00A641C5" w:rsidP="00A641C5">
    <w:pPr>
      <w:pStyle w:val="Footer"/>
      <w:rPr>
        <w:rFonts w:ascii="Times New Roman" w:hAnsi="Times New Roman" w:cs="Times New Roman"/>
        <w:color w:val="000000" w:themeColor="text1"/>
        <w:sz w:val="16"/>
        <w:szCs w:val="16"/>
      </w:rPr>
    </w:pPr>
    <w:r w:rsidRPr="00A641C5">
      <w:rPr>
        <w:rFonts w:ascii="Malgun Gothic" w:eastAsia="Malgun Gothic" w:hAnsi="Malgun Gothic" w:cs="Malgun Gothic" w:hint="eastAsia"/>
        <w:color w:val="000000" w:themeColor="text1"/>
        <w:sz w:val="16"/>
        <w:szCs w:val="16"/>
      </w:rPr>
      <w:t>ⓒ</w:t>
    </w:r>
    <w:r w:rsidRPr="00A641C5">
      <w:rPr>
        <w:rFonts w:ascii="Times New Roman" w:hAnsi="Times New Roman" w:cs="Times New Roman"/>
        <w:color w:val="000000" w:themeColor="text1"/>
        <w:sz w:val="16"/>
        <w:szCs w:val="16"/>
      </w:rPr>
      <w:t xml:space="preserve"> Copyright: The Author(s). This is an Open Access journal distributed under the terms of the Creative Commons Attribution</w:t>
    </w:r>
    <w:r w:rsidRPr="00A641C5">
      <w:rPr>
        <w:rFonts w:ascii="Times New Roman" w:hAnsi="Times New Roman" w:cs="Times New Roman" w:hint="eastAsia"/>
        <w:color w:val="000000" w:themeColor="text1"/>
        <w:sz w:val="16"/>
        <w:szCs w:val="16"/>
      </w:rPr>
      <w:t xml:space="preserve"> </w:t>
    </w:r>
    <w:r w:rsidRPr="00A641C5">
      <w:rPr>
        <w:rFonts w:ascii="Times New Roman" w:hAnsi="Times New Roman" w:cs="Times New Roman"/>
        <w:color w:val="000000" w:themeColor="text1"/>
        <w:sz w:val="16"/>
        <w:szCs w:val="16"/>
      </w:rPr>
      <w:t>Non-Commercial License (https://creativecommons.org/licenses/by-nc/4.0/) which permits unrestricted non-commercial use, distribution, and reproduction in any medium, provided the original work is properly cited.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E2757" w14:textId="5F2D5049" w:rsidR="00A641C5" w:rsidRPr="00A641C5" w:rsidRDefault="00A641C5" w:rsidP="00A641C5">
    <w:pPr>
      <w:pStyle w:val="Footer"/>
    </w:pP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AF417" w14:textId="77777777" w:rsidR="009161DC" w:rsidRDefault="009161DC" w:rsidP="00A641C5">
      <w:r>
        <w:separator/>
      </w:r>
    </w:p>
  </w:footnote>
  <w:footnote w:type="continuationSeparator" w:id="0">
    <w:p w14:paraId="72F13721" w14:textId="77777777" w:rsidR="009161DC" w:rsidRDefault="009161DC" w:rsidP="00A641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937E8"/>
    <w:multiLevelType w:val="multilevel"/>
    <w:tmpl w:val="E34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C29C1"/>
    <w:multiLevelType w:val="hybridMultilevel"/>
    <w:tmpl w:val="6D98ED18"/>
    <w:lvl w:ilvl="0" w:tplc="0AC47ABE">
      <w:start w:val="1"/>
      <w:numFmt w:val="upperLetter"/>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2" w15:restartNumberingAfterBreak="0">
    <w:nsid w:val="5B301219"/>
    <w:multiLevelType w:val="hybridMultilevel"/>
    <w:tmpl w:val="66FAFF34"/>
    <w:lvl w:ilvl="0" w:tplc="CA188C4A">
      <w:start w:val="1"/>
      <w:numFmt w:val="upperRoman"/>
      <w:lvlText w:val="%1."/>
      <w:lvlJc w:val="left"/>
      <w:pPr>
        <w:ind w:left="1160" w:hanging="720"/>
      </w:pPr>
      <w:rPr>
        <w:rFonts w:ascii="Times New Roman" w:eastAsia="휴먼명조" w:hAnsi="Times New Roman" w:cs="Times New Roman" w:hint="default"/>
        <w:sz w:val="24"/>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7A667B38"/>
    <w:multiLevelType w:val="hybridMultilevel"/>
    <w:tmpl w:val="1E620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1D"/>
    <w:rsid w:val="00003636"/>
    <w:rsid w:val="0000608A"/>
    <w:rsid w:val="00010154"/>
    <w:rsid w:val="00013C0A"/>
    <w:rsid w:val="00016021"/>
    <w:rsid w:val="00016BBA"/>
    <w:rsid w:val="00022D0C"/>
    <w:rsid w:val="00025583"/>
    <w:rsid w:val="00032E51"/>
    <w:rsid w:val="0003683D"/>
    <w:rsid w:val="00037F09"/>
    <w:rsid w:val="000403BF"/>
    <w:rsid w:val="000464C3"/>
    <w:rsid w:val="00050B4D"/>
    <w:rsid w:val="00055830"/>
    <w:rsid w:val="000573A1"/>
    <w:rsid w:val="0006058D"/>
    <w:rsid w:val="00066A36"/>
    <w:rsid w:val="000674F6"/>
    <w:rsid w:val="00067C5C"/>
    <w:rsid w:val="0007020A"/>
    <w:rsid w:val="000717C7"/>
    <w:rsid w:val="000736CB"/>
    <w:rsid w:val="000746B1"/>
    <w:rsid w:val="00077276"/>
    <w:rsid w:val="00084A60"/>
    <w:rsid w:val="00086025"/>
    <w:rsid w:val="0008624F"/>
    <w:rsid w:val="00092062"/>
    <w:rsid w:val="000923A3"/>
    <w:rsid w:val="00092889"/>
    <w:rsid w:val="00097F10"/>
    <w:rsid w:val="000A63CB"/>
    <w:rsid w:val="000B5AF4"/>
    <w:rsid w:val="000C1922"/>
    <w:rsid w:val="000C71C7"/>
    <w:rsid w:val="000C7F29"/>
    <w:rsid w:val="000D0435"/>
    <w:rsid w:val="000D1749"/>
    <w:rsid w:val="000D240E"/>
    <w:rsid w:val="000D408E"/>
    <w:rsid w:val="000D5A6C"/>
    <w:rsid w:val="000D5AC2"/>
    <w:rsid w:val="000E167F"/>
    <w:rsid w:val="000E27B1"/>
    <w:rsid w:val="000E3187"/>
    <w:rsid w:val="000E6618"/>
    <w:rsid w:val="000F25FB"/>
    <w:rsid w:val="000F3D11"/>
    <w:rsid w:val="000F48D1"/>
    <w:rsid w:val="000F5E50"/>
    <w:rsid w:val="000F701F"/>
    <w:rsid w:val="000F7066"/>
    <w:rsid w:val="001020CD"/>
    <w:rsid w:val="001041A7"/>
    <w:rsid w:val="00105325"/>
    <w:rsid w:val="001112CD"/>
    <w:rsid w:val="00112C84"/>
    <w:rsid w:val="001146AD"/>
    <w:rsid w:val="00115A5F"/>
    <w:rsid w:val="00117F2A"/>
    <w:rsid w:val="00121A2D"/>
    <w:rsid w:val="00122EDC"/>
    <w:rsid w:val="00123AD0"/>
    <w:rsid w:val="00124EE8"/>
    <w:rsid w:val="00124F95"/>
    <w:rsid w:val="00125698"/>
    <w:rsid w:val="001279A4"/>
    <w:rsid w:val="00130685"/>
    <w:rsid w:val="001311A1"/>
    <w:rsid w:val="00133797"/>
    <w:rsid w:val="0014099B"/>
    <w:rsid w:val="00142259"/>
    <w:rsid w:val="001422D1"/>
    <w:rsid w:val="00145C38"/>
    <w:rsid w:val="00146BE9"/>
    <w:rsid w:val="00150BE9"/>
    <w:rsid w:val="001531AD"/>
    <w:rsid w:val="0016041C"/>
    <w:rsid w:val="00161284"/>
    <w:rsid w:val="001667E2"/>
    <w:rsid w:val="00170DD5"/>
    <w:rsid w:val="00172161"/>
    <w:rsid w:val="001723B5"/>
    <w:rsid w:val="001730F1"/>
    <w:rsid w:val="0017409E"/>
    <w:rsid w:val="00176B00"/>
    <w:rsid w:val="00176C4F"/>
    <w:rsid w:val="00180431"/>
    <w:rsid w:val="00187622"/>
    <w:rsid w:val="00190FBD"/>
    <w:rsid w:val="00197A37"/>
    <w:rsid w:val="001A132F"/>
    <w:rsid w:val="001A69BD"/>
    <w:rsid w:val="001A6EFF"/>
    <w:rsid w:val="001C0E0E"/>
    <w:rsid w:val="001C1E69"/>
    <w:rsid w:val="001C6D58"/>
    <w:rsid w:val="001D2527"/>
    <w:rsid w:val="001D3303"/>
    <w:rsid w:val="001D682A"/>
    <w:rsid w:val="001D77D2"/>
    <w:rsid w:val="001F0D81"/>
    <w:rsid w:val="00201677"/>
    <w:rsid w:val="00203B52"/>
    <w:rsid w:val="00205CE1"/>
    <w:rsid w:val="00207876"/>
    <w:rsid w:val="0021004B"/>
    <w:rsid w:val="00210D6A"/>
    <w:rsid w:val="00215164"/>
    <w:rsid w:val="00217BFC"/>
    <w:rsid w:val="0022007E"/>
    <w:rsid w:val="00224303"/>
    <w:rsid w:val="002268C5"/>
    <w:rsid w:val="002273D4"/>
    <w:rsid w:val="002309A1"/>
    <w:rsid w:val="0023262E"/>
    <w:rsid w:val="00233A4D"/>
    <w:rsid w:val="00234494"/>
    <w:rsid w:val="00235CDE"/>
    <w:rsid w:val="0023767F"/>
    <w:rsid w:val="00246C54"/>
    <w:rsid w:val="0025253E"/>
    <w:rsid w:val="00263431"/>
    <w:rsid w:val="002654CE"/>
    <w:rsid w:val="002661B1"/>
    <w:rsid w:val="00266858"/>
    <w:rsid w:val="00267A1E"/>
    <w:rsid w:val="00270709"/>
    <w:rsid w:val="00271C64"/>
    <w:rsid w:val="0027283C"/>
    <w:rsid w:val="00272EE9"/>
    <w:rsid w:val="002735C9"/>
    <w:rsid w:val="00281A3C"/>
    <w:rsid w:val="002822E5"/>
    <w:rsid w:val="00286157"/>
    <w:rsid w:val="00287F09"/>
    <w:rsid w:val="00292357"/>
    <w:rsid w:val="00295677"/>
    <w:rsid w:val="002A0CDC"/>
    <w:rsid w:val="002A7FD6"/>
    <w:rsid w:val="002B4ED0"/>
    <w:rsid w:val="002B50C0"/>
    <w:rsid w:val="002B5CE4"/>
    <w:rsid w:val="002C0DD8"/>
    <w:rsid w:val="002C1D7F"/>
    <w:rsid w:val="002C1FA8"/>
    <w:rsid w:val="002C3F53"/>
    <w:rsid w:val="002C4643"/>
    <w:rsid w:val="002C6F16"/>
    <w:rsid w:val="002D00C7"/>
    <w:rsid w:val="002D1A83"/>
    <w:rsid w:val="002D4A9B"/>
    <w:rsid w:val="002D5355"/>
    <w:rsid w:val="002D7BBA"/>
    <w:rsid w:val="002E7E72"/>
    <w:rsid w:val="002F328C"/>
    <w:rsid w:val="002F5401"/>
    <w:rsid w:val="002F6A9A"/>
    <w:rsid w:val="002F7C60"/>
    <w:rsid w:val="0030009B"/>
    <w:rsid w:val="00300BC0"/>
    <w:rsid w:val="003014DE"/>
    <w:rsid w:val="00301BF0"/>
    <w:rsid w:val="003020EA"/>
    <w:rsid w:val="00302D62"/>
    <w:rsid w:val="00304764"/>
    <w:rsid w:val="00305943"/>
    <w:rsid w:val="00306DBC"/>
    <w:rsid w:val="00313DBD"/>
    <w:rsid w:val="0031469D"/>
    <w:rsid w:val="00314976"/>
    <w:rsid w:val="003234A3"/>
    <w:rsid w:val="0032373A"/>
    <w:rsid w:val="0033024E"/>
    <w:rsid w:val="00332411"/>
    <w:rsid w:val="00333CDC"/>
    <w:rsid w:val="00334520"/>
    <w:rsid w:val="0034785F"/>
    <w:rsid w:val="0035132E"/>
    <w:rsid w:val="003603BA"/>
    <w:rsid w:val="00362614"/>
    <w:rsid w:val="00362D93"/>
    <w:rsid w:val="003634AA"/>
    <w:rsid w:val="0037456C"/>
    <w:rsid w:val="00374A92"/>
    <w:rsid w:val="003828B8"/>
    <w:rsid w:val="003832BE"/>
    <w:rsid w:val="00384D82"/>
    <w:rsid w:val="003900C5"/>
    <w:rsid w:val="003908E0"/>
    <w:rsid w:val="00394135"/>
    <w:rsid w:val="003964D3"/>
    <w:rsid w:val="003A398E"/>
    <w:rsid w:val="003A7613"/>
    <w:rsid w:val="003B399B"/>
    <w:rsid w:val="003B3B34"/>
    <w:rsid w:val="003B704E"/>
    <w:rsid w:val="003C33AC"/>
    <w:rsid w:val="003C4AFF"/>
    <w:rsid w:val="003C7100"/>
    <w:rsid w:val="003D0C0E"/>
    <w:rsid w:val="003D1C43"/>
    <w:rsid w:val="003D4BDA"/>
    <w:rsid w:val="003D71CD"/>
    <w:rsid w:val="003E2807"/>
    <w:rsid w:val="003F24A9"/>
    <w:rsid w:val="003F4445"/>
    <w:rsid w:val="003F4502"/>
    <w:rsid w:val="003F7453"/>
    <w:rsid w:val="00402FB6"/>
    <w:rsid w:val="00403245"/>
    <w:rsid w:val="004066D6"/>
    <w:rsid w:val="00413B35"/>
    <w:rsid w:val="00413DAC"/>
    <w:rsid w:val="00417941"/>
    <w:rsid w:val="004237F7"/>
    <w:rsid w:val="0042732F"/>
    <w:rsid w:val="004274CA"/>
    <w:rsid w:val="00435759"/>
    <w:rsid w:val="00435BEF"/>
    <w:rsid w:val="00445C47"/>
    <w:rsid w:val="00446B9B"/>
    <w:rsid w:val="0044714F"/>
    <w:rsid w:val="0044741D"/>
    <w:rsid w:val="00450D6C"/>
    <w:rsid w:val="0045252A"/>
    <w:rsid w:val="00455300"/>
    <w:rsid w:val="00455922"/>
    <w:rsid w:val="0045668D"/>
    <w:rsid w:val="00466C28"/>
    <w:rsid w:val="00471344"/>
    <w:rsid w:val="00472684"/>
    <w:rsid w:val="00473BFB"/>
    <w:rsid w:val="00474523"/>
    <w:rsid w:val="00477C10"/>
    <w:rsid w:val="00485E7A"/>
    <w:rsid w:val="004866B7"/>
    <w:rsid w:val="00486A41"/>
    <w:rsid w:val="00495794"/>
    <w:rsid w:val="004958C0"/>
    <w:rsid w:val="004A3F06"/>
    <w:rsid w:val="004A451D"/>
    <w:rsid w:val="004A5754"/>
    <w:rsid w:val="004A6CCE"/>
    <w:rsid w:val="004B5958"/>
    <w:rsid w:val="004C0CC5"/>
    <w:rsid w:val="004C3E05"/>
    <w:rsid w:val="004C42DB"/>
    <w:rsid w:val="004C6252"/>
    <w:rsid w:val="004C64EC"/>
    <w:rsid w:val="004C6F2E"/>
    <w:rsid w:val="004D0627"/>
    <w:rsid w:val="004D3849"/>
    <w:rsid w:val="004D60D8"/>
    <w:rsid w:val="004D6BF7"/>
    <w:rsid w:val="004E31E3"/>
    <w:rsid w:val="004E3278"/>
    <w:rsid w:val="004E635D"/>
    <w:rsid w:val="004E7CA7"/>
    <w:rsid w:val="004F3050"/>
    <w:rsid w:val="004F458F"/>
    <w:rsid w:val="004F592A"/>
    <w:rsid w:val="00501215"/>
    <w:rsid w:val="00501E0F"/>
    <w:rsid w:val="0050287E"/>
    <w:rsid w:val="005059CA"/>
    <w:rsid w:val="00507003"/>
    <w:rsid w:val="0051087F"/>
    <w:rsid w:val="00511BC7"/>
    <w:rsid w:val="00513E84"/>
    <w:rsid w:val="00513F7E"/>
    <w:rsid w:val="0051754A"/>
    <w:rsid w:val="00521152"/>
    <w:rsid w:val="005211DF"/>
    <w:rsid w:val="0053104B"/>
    <w:rsid w:val="00531BD5"/>
    <w:rsid w:val="005350A6"/>
    <w:rsid w:val="005353D4"/>
    <w:rsid w:val="00536EC9"/>
    <w:rsid w:val="00546DF2"/>
    <w:rsid w:val="00547455"/>
    <w:rsid w:val="00553D41"/>
    <w:rsid w:val="00555497"/>
    <w:rsid w:val="0055715C"/>
    <w:rsid w:val="005600B2"/>
    <w:rsid w:val="005601F5"/>
    <w:rsid w:val="005615D9"/>
    <w:rsid w:val="00561BB5"/>
    <w:rsid w:val="005637F2"/>
    <w:rsid w:val="00565E07"/>
    <w:rsid w:val="00566903"/>
    <w:rsid w:val="0056758B"/>
    <w:rsid w:val="0057719B"/>
    <w:rsid w:val="00580271"/>
    <w:rsid w:val="00582A35"/>
    <w:rsid w:val="00586495"/>
    <w:rsid w:val="00586FF1"/>
    <w:rsid w:val="00590194"/>
    <w:rsid w:val="005923F5"/>
    <w:rsid w:val="005A6CF7"/>
    <w:rsid w:val="005B229E"/>
    <w:rsid w:val="005B4347"/>
    <w:rsid w:val="005C14F6"/>
    <w:rsid w:val="005C1965"/>
    <w:rsid w:val="005C1F1B"/>
    <w:rsid w:val="005C2BEB"/>
    <w:rsid w:val="005C2FDC"/>
    <w:rsid w:val="005C44D4"/>
    <w:rsid w:val="005C52FA"/>
    <w:rsid w:val="005C674D"/>
    <w:rsid w:val="005C79B9"/>
    <w:rsid w:val="005D1878"/>
    <w:rsid w:val="005D403E"/>
    <w:rsid w:val="005E2634"/>
    <w:rsid w:val="005E3532"/>
    <w:rsid w:val="005E4EF8"/>
    <w:rsid w:val="005E73A8"/>
    <w:rsid w:val="005F173B"/>
    <w:rsid w:val="005F1F90"/>
    <w:rsid w:val="005F256F"/>
    <w:rsid w:val="005F2A94"/>
    <w:rsid w:val="005F4ECB"/>
    <w:rsid w:val="005F7FC5"/>
    <w:rsid w:val="00603415"/>
    <w:rsid w:val="00605514"/>
    <w:rsid w:val="006075CB"/>
    <w:rsid w:val="00610339"/>
    <w:rsid w:val="006119A0"/>
    <w:rsid w:val="00612C4D"/>
    <w:rsid w:val="00615F43"/>
    <w:rsid w:val="0061692A"/>
    <w:rsid w:val="00624A44"/>
    <w:rsid w:val="00625A8D"/>
    <w:rsid w:val="00627BB1"/>
    <w:rsid w:val="006309F8"/>
    <w:rsid w:val="00631034"/>
    <w:rsid w:val="00634B62"/>
    <w:rsid w:val="00636742"/>
    <w:rsid w:val="006379EA"/>
    <w:rsid w:val="006402F7"/>
    <w:rsid w:val="00641B4A"/>
    <w:rsid w:val="006424D3"/>
    <w:rsid w:val="006428BE"/>
    <w:rsid w:val="00642CB2"/>
    <w:rsid w:val="0064695C"/>
    <w:rsid w:val="00653FD4"/>
    <w:rsid w:val="00656F14"/>
    <w:rsid w:val="006602FD"/>
    <w:rsid w:val="00667ED3"/>
    <w:rsid w:val="006700EA"/>
    <w:rsid w:val="0067012D"/>
    <w:rsid w:val="006702BE"/>
    <w:rsid w:val="00672707"/>
    <w:rsid w:val="006728CB"/>
    <w:rsid w:val="00675749"/>
    <w:rsid w:val="006827FD"/>
    <w:rsid w:val="00685406"/>
    <w:rsid w:val="0069051E"/>
    <w:rsid w:val="00690B0B"/>
    <w:rsid w:val="00690CD9"/>
    <w:rsid w:val="006932E1"/>
    <w:rsid w:val="00693B66"/>
    <w:rsid w:val="006A129D"/>
    <w:rsid w:val="006A1844"/>
    <w:rsid w:val="006A24DE"/>
    <w:rsid w:val="006A6102"/>
    <w:rsid w:val="006B2426"/>
    <w:rsid w:val="006B56FB"/>
    <w:rsid w:val="006B62F1"/>
    <w:rsid w:val="006B755F"/>
    <w:rsid w:val="006C0A61"/>
    <w:rsid w:val="006C4493"/>
    <w:rsid w:val="006C5452"/>
    <w:rsid w:val="006C60C7"/>
    <w:rsid w:val="006C7ED4"/>
    <w:rsid w:val="006D2818"/>
    <w:rsid w:val="006D3252"/>
    <w:rsid w:val="006D3E97"/>
    <w:rsid w:val="006D4919"/>
    <w:rsid w:val="006D7D95"/>
    <w:rsid w:val="006E28A1"/>
    <w:rsid w:val="006E3CB4"/>
    <w:rsid w:val="006E64EE"/>
    <w:rsid w:val="006E7282"/>
    <w:rsid w:val="006E75EA"/>
    <w:rsid w:val="00704A88"/>
    <w:rsid w:val="00722C24"/>
    <w:rsid w:val="00731738"/>
    <w:rsid w:val="00732199"/>
    <w:rsid w:val="0073644A"/>
    <w:rsid w:val="00737D03"/>
    <w:rsid w:val="007415B2"/>
    <w:rsid w:val="00742762"/>
    <w:rsid w:val="0074325E"/>
    <w:rsid w:val="00745AD6"/>
    <w:rsid w:val="00747F48"/>
    <w:rsid w:val="00752FEE"/>
    <w:rsid w:val="007611E8"/>
    <w:rsid w:val="007625B2"/>
    <w:rsid w:val="00765913"/>
    <w:rsid w:val="00775384"/>
    <w:rsid w:val="007769AC"/>
    <w:rsid w:val="00791568"/>
    <w:rsid w:val="00797018"/>
    <w:rsid w:val="007970C1"/>
    <w:rsid w:val="007A1438"/>
    <w:rsid w:val="007A314F"/>
    <w:rsid w:val="007A3F50"/>
    <w:rsid w:val="007A6CD5"/>
    <w:rsid w:val="007B034D"/>
    <w:rsid w:val="007B0390"/>
    <w:rsid w:val="007B1D15"/>
    <w:rsid w:val="007B3CC8"/>
    <w:rsid w:val="007B4630"/>
    <w:rsid w:val="007B488A"/>
    <w:rsid w:val="007C1C77"/>
    <w:rsid w:val="007C1CAB"/>
    <w:rsid w:val="007C3DD3"/>
    <w:rsid w:val="007C4807"/>
    <w:rsid w:val="007C72BE"/>
    <w:rsid w:val="007D1D5C"/>
    <w:rsid w:val="007D46FE"/>
    <w:rsid w:val="007D4881"/>
    <w:rsid w:val="007D68F2"/>
    <w:rsid w:val="007D791B"/>
    <w:rsid w:val="007E0671"/>
    <w:rsid w:val="007E26BE"/>
    <w:rsid w:val="007F168E"/>
    <w:rsid w:val="007F3D88"/>
    <w:rsid w:val="007F5EDE"/>
    <w:rsid w:val="007F75E7"/>
    <w:rsid w:val="007F773A"/>
    <w:rsid w:val="008005C8"/>
    <w:rsid w:val="00800600"/>
    <w:rsid w:val="00801BAA"/>
    <w:rsid w:val="00807F85"/>
    <w:rsid w:val="00811D41"/>
    <w:rsid w:val="00820F58"/>
    <w:rsid w:val="00823C99"/>
    <w:rsid w:val="00824C10"/>
    <w:rsid w:val="008256C7"/>
    <w:rsid w:val="00830DF4"/>
    <w:rsid w:val="00832077"/>
    <w:rsid w:val="008328A2"/>
    <w:rsid w:val="008331F4"/>
    <w:rsid w:val="00837283"/>
    <w:rsid w:val="008413AF"/>
    <w:rsid w:val="00841DAD"/>
    <w:rsid w:val="00842741"/>
    <w:rsid w:val="00842E63"/>
    <w:rsid w:val="008514BE"/>
    <w:rsid w:val="008517E3"/>
    <w:rsid w:val="00851C23"/>
    <w:rsid w:val="0085322F"/>
    <w:rsid w:val="00856279"/>
    <w:rsid w:val="008603F2"/>
    <w:rsid w:val="00861B52"/>
    <w:rsid w:val="008643F9"/>
    <w:rsid w:val="00866FD1"/>
    <w:rsid w:val="00870F9A"/>
    <w:rsid w:val="0087192C"/>
    <w:rsid w:val="00871B28"/>
    <w:rsid w:val="00876458"/>
    <w:rsid w:val="00876845"/>
    <w:rsid w:val="00880EEB"/>
    <w:rsid w:val="0088163B"/>
    <w:rsid w:val="008834AC"/>
    <w:rsid w:val="00884948"/>
    <w:rsid w:val="00886A09"/>
    <w:rsid w:val="0088706D"/>
    <w:rsid w:val="00890E61"/>
    <w:rsid w:val="0089261F"/>
    <w:rsid w:val="00895B84"/>
    <w:rsid w:val="008A3BFE"/>
    <w:rsid w:val="008A6AF9"/>
    <w:rsid w:val="008A6FC2"/>
    <w:rsid w:val="008B0FF1"/>
    <w:rsid w:val="008B14FD"/>
    <w:rsid w:val="008B2B51"/>
    <w:rsid w:val="008B2E1D"/>
    <w:rsid w:val="008B2E95"/>
    <w:rsid w:val="008B6DCC"/>
    <w:rsid w:val="008B6FC3"/>
    <w:rsid w:val="008B72E1"/>
    <w:rsid w:val="008C31C8"/>
    <w:rsid w:val="008C4747"/>
    <w:rsid w:val="008D23A9"/>
    <w:rsid w:val="008D309D"/>
    <w:rsid w:val="008D3710"/>
    <w:rsid w:val="008E2917"/>
    <w:rsid w:val="008E2ECE"/>
    <w:rsid w:val="008E595E"/>
    <w:rsid w:val="008F3446"/>
    <w:rsid w:val="008F437C"/>
    <w:rsid w:val="008F45D7"/>
    <w:rsid w:val="008F4687"/>
    <w:rsid w:val="0090090C"/>
    <w:rsid w:val="00905B0E"/>
    <w:rsid w:val="009144C4"/>
    <w:rsid w:val="0091531E"/>
    <w:rsid w:val="009161DC"/>
    <w:rsid w:val="00917AD9"/>
    <w:rsid w:val="00927DAE"/>
    <w:rsid w:val="00940689"/>
    <w:rsid w:val="00942465"/>
    <w:rsid w:val="00945DCE"/>
    <w:rsid w:val="00946C41"/>
    <w:rsid w:val="009470D0"/>
    <w:rsid w:val="00950311"/>
    <w:rsid w:val="00952032"/>
    <w:rsid w:val="00953F9F"/>
    <w:rsid w:val="009543EF"/>
    <w:rsid w:val="009550CF"/>
    <w:rsid w:val="00957998"/>
    <w:rsid w:val="00960FE8"/>
    <w:rsid w:val="00961151"/>
    <w:rsid w:val="009613C5"/>
    <w:rsid w:val="00962514"/>
    <w:rsid w:val="0096355D"/>
    <w:rsid w:val="00964DC6"/>
    <w:rsid w:val="0096550F"/>
    <w:rsid w:val="009673E2"/>
    <w:rsid w:val="009676F4"/>
    <w:rsid w:val="00975FE6"/>
    <w:rsid w:val="00977246"/>
    <w:rsid w:val="00977C28"/>
    <w:rsid w:val="00980A9F"/>
    <w:rsid w:val="00981754"/>
    <w:rsid w:val="00985BC6"/>
    <w:rsid w:val="009863C7"/>
    <w:rsid w:val="009878A7"/>
    <w:rsid w:val="00992044"/>
    <w:rsid w:val="009938C2"/>
    <w:rsid w:val="009959B0"/>
    <w:rsid w:val="009A138F"/>
    <w:rsid w:val="009A430B"/>
    <w:rsid w:val="009B4930"/>
    <w:rsid w:val="009B5741"/>
    <w:rsid w:val="009B63AF"/>
    <w:rsid w:val="009B77C9"/>
    <w:rsid w:val="009C0B75"/>
    <w:rsid w:val="009C3174"/>
    <w:rsid w:val="009C3B72"/>
    <w:rsid w:val="009D1349"/>
    <w:rsid w:val="009D79B1"/>
    <w:rsid w:val="009F47EF"/>
    <w:rsid w:val="00A00C34"/>
    <w:rsid w:val="00A034F3"/>
    <w:rsid w:val="00A07360"/>
    <w:rsid w:val="00A141D0"/>
    <w:rsid w:val="00A154C5"/>
    <w:rsid w:val="00A1602C"/>
    <w:rsid w:val="00A16576"/>
    <w:rsid w:val="00A17E85"/>
    <w:rsid w:val="00A315E7"/>
    <w:rsid w:val="00A32B56"/>
    <w:rsid w:val="00A35FF4"/>
    <w:rsid w:val="00A51E3E"/>
    <w:rsid w:val="00A5364B"/>
    <w:rsid w:val="00A5424F"/>
    <w:rsid w:val="00A54CD9"/>
    <w:rsid w:val="00A56E4D"/>
    <w:rsid w:val="00A5755D"/>
    <w:rsid w:val="00A641C5"/>
    <w:rsid w:val="00A6595E"/>
    <w:rsid w:val="00A66E1D"/>
    <w:rsid w:val="00A7701B"/>
    <w:rsid w:val="00A77C8F"/>
    <w:rsid w:val="00A82C1E"/>
    <w:rsid w:val="00A83D69"/>
    <w:rsid w:val="00A8527D"/>
    <w:rsid w:val="00A93071"/>
    <w:rsid w:val="00A954DA"/>
    <w:rsid w:val="00AA29A9"/>
    <w:rsid w:val="00AA5C72"/>
    <w:rsid w:val="00AA6B53"/>
    <w:rsid w:val="00AC3A94"/>
    <w:rsid w:val="00AC3B44"/>
    <w:rsid w:val="00AC6F8C"/>
    <w:rsid w:val="00AC7298"/>
    <w:rsid w:val="00AD1C6B"/>
    <w:rsid w:val="00AD3825"/>
    <w:rsid w:val="00AD4DF4"/>
    <w:rsid w:val="00AD5BC1"/>
    <w:rsid w:val="00AD62FA"/>
    <w:rsid w:val="00AD7F59"/>
    <w:rsid w:val="00AE3678"/>
    <w:rsid w:val="00AF3B3E"/>
    <w:rsid w:val="00AF53DA"/>
    <w:rsid w:val="00AF65EA"/>
    <w:rsid w:val="00B0056B"/>
    <w:rsid w:val="00B01250"/>
    <w:rsid w:val="00B01CF2"/>
    <w:rsid w:val="00B071B8"/>
    <w:rsid w:val="00B117BD"/>
    <w:rsid w:val="00B179C4"/>
    <w:rsid w:val="00B235A6"/>
    <w:rsid w:val="00B251D6"/>
    <w:rsid w:val="00B25318"/>
    <w:rsid w:val="00B266DC"/>
    <w:rsid w:val="00B26B8D"/>
    <w:rsid w:val="00B315F3"/>
    <w:rsid w:val="00B35998"/>
    <w:rsid w:val="00B37820"/>
    <w:rsid w:val="00B37A4B"/>
    <w:rsid w:val="00B40FC8"/>
    <w:rsid w:val="00B41946"/>
    <w:rsid w:val="00B4241D"/>
    <w:rsid w:val="00B42A18"/>
    <w:rsid w:val="00B4350A"/>
    <w:rsid w:val="00B46389"/>
    <w:rsid w:val="00B50567"/>
    <w:rsid w:val="00B5747A"/>
    <w:rsid w:val="00B57D77"/>
    <w:rsid w:val="00B6641F"/>
    <w:rsid w:val="00B723B6"/>
    <w:rsid w:val="00B7337D"/>
    <w:rsid w:val="00B75DCE"/>
    <w:rsid w:val="00B83E88"/>
    <w:rsid w:val="00B842B1"/>
    <w:rsid w:val="00B919F7"/>
    <w:rsid w:val="00B91A2A"/>
    <w:rsid w:val="00BA30FB"/>
    <w:rsid w:val="00BA6468"/>
    <w:rsid w:val="00BB2B10"/>
    <w:rsid w:val="00BC1DD9"/>
    <w:rsid w:val="00BC4171"/>
    <w:rsid w:val="00BC6AA4"/>
    <w:rsid w:val="00BC6F0E"/>
    <w:rsid w:val="00BD0523"/>
    <w:rsid w:val="00BD1639"/>
    <w:rsid w:val="00BD1B72"/>
    <w:rsid w:val="00BD571F"/>
    <w:rsid w:val="00BD73A7"/>
    <w:rsid w:val="00BE4E4B"/>
    <w:rsid w:val="00BF02B4"/>
    <w:rsid w:val="00BF2C60"/>
    <w:rsid w:val="00BF5BAA"/>
    <w:rsid w:val="00BF69F5"/>
    <w:rsid w:val="00BF749F"/>
    <w:rsid w:val="00BF75CC"/>
    <w:rsid w:val="00C03277"/>
    <w:rsid w:val="00C05AF2"/>
    <w:rsid w:val="00C10149"/>
    <w:rsid w:val="00C11D03"/>
    <w:rsid w:val="00C13459"/>
    <w:rsid w:val="00C14C92"/>
    <w:rsid w:val="00C14EDD"/>
    <w:rsid w:val="00C156B1"/>
    <w:rsid w:val="00C1622C"/>
    <w:rsid w:val="00C21CA8"/>
    <w:rsid w:val="00C22A05"/>
    <w:rsid w:val="00C22F81"/>
    <w:rsid w:val="00C337AF"/>
    <w:rsid w:val="00C351D1"/>
    <w:rsid w:val="00C3692D"/>
    <w:rsid w:val="00C3780B"/>
    <w:rsid w:val="00C4241E"/>
    <w:rsid w:val="00C43A3E"/>
    <w:rsid w:val="00C47588"/>
    <w:rsid w:val="00C507E2"/>
    <w:rsid w:val="00C51807"/>
    <w:rsid w:val="00C53AA9"/>
    <w:rsid w:val="00C53F06"/>
    <w:rsid w:val="00C544B4"/>
    <w:rsid w:val="00C5656C"/>
    <w:rsid w:val="00C57514"/>
    <w:rsid w:val="00C66A75"/>
    <w:rsid w:val="00C6745E"/>
    <w:rsid w:val="00C72995"/>
    <w:rsid w:val="00C72FC3"/>
    <w:rsid w:val="00C7536F"/>
    <w:rsid w:val="00C76B6E"/>
    <w:rsid w:val="00C76CF2"/>
    <w:rsid w:val="00C877EA"/>
    <w:rsid w:val="00C9116A"/>
    <w:rsid w:val="00C92300"/>
    <w:rsid w:val="00C95F15"/>
    <w:rsid w:val="00CA1549"/>
    <w:rsid w:val="00CA20EC"/>
    <w:rsid w:val="00CA3E09"/>
    <w:rsid w:val="00CB0C2B"/>
    <w:rsid w:val="00CB3E59"/>
    <w:rsid w:val="00CC0803"/>
    <w:rsid w:val="00CC22F9"/>
    <w:rsid w:val="00CC2BEC"/>
    <w:rsid w:val="00CC3A04"/>
    <w:rsid w:val="00CD38AF"/>
    <w:rsid w:val="00CD5067"/>
    <w:rsid w:val="00CD5385"/>
    <w:rsid w:val="00CD5F73"/>
    <w:rsid w:val="00CD67C9"/>
    <w:rsid w:val="00CD69B9"/>
    <w:rsid w:val="00CE2BF1"/>
    <w:rsid w:val="00CE4D0F"/>
    <w:rsid w:val="00CE59BA"/>
    <w:rsid w:val="00CE5CD5"/>
    <w:rsid w:val="00CE7719"/>
    <w:rsid w:val="00CF24AC"/>
    <w:rsid w:val="00D016C2"/>
    <w:rsid w:val="00D10ABF"/>
    <w:rsid w:val="00D123B4"/>
    <w:rsid w:val="00D13BF9"/>
    <w:rsid w:val="00D21578"/>
    <w:rsid w:val="00D271D1"/>
    <w:rsid w:val="00D27200"/>
    <w:rsid w:val="00D27CCB"/>
    <w:rsid w:val="00D27D93"/>
    <w:rsid w:val="00D312FB"/>
    <w:rsid w:val="00D31CE0"/>
    <w:rsid w:val="00D34B6F"/>
    <w:rsid w:val="00D37A71"/>
    <w:rsid w:val="00D37C1A"/>
    <w:rsid w:val="00D40756"/>
    <w:rsid w:val="00D43E67"/>
    <w:rsid w:val="00D4644A"/>
    <w:rsid w:val="00D51BC9"/>
    <w:rsid w:val="00D55A05"/>
    <w:rsid w:val="00D55EA4"/>
    <w:rsid w:val="00D60047"/>
    <w:rsid w:val="00D608AD"/>
    <w:rsid w:val="00D60D9C"/>
    <w:rsid w:val="00D63B6F"/>
    <w:rsid w:val="00D656E3"/>
    <w:rsid w:val="00D7763B"/>
    <w:rsid w:val="00D84420"/>
    <w:rsid w:val="00D846D2"/>
    <w:rsid w:val="00D87C8B"/>
    <w:rsid w:val="00D9062E"/>
    <w:rsid w:val="00D925B8"/>
    <w:rsid w:val="00D93EFA"/>
    <w:rsid w:val="00D94753"/>
    <w:rsid w:val="00D97619"/>
    <w:rsid w:val="00DA0566"/>
    <w:rsid w:val="00DA126F"/>
    <w:rsid w:val="00DA3435"/>
    <w:rsid w:val="00DA52BE"/>
    <w:rsid w:val="00DA7D4C"/>
    <w:rsid w:val="00DB62A8"/>
    <w:rsid w:val="00DC06AB"/>
    <w:rsid w:val="00DC5DF8"/>
    <w:rsid w:val="00DC6541"/>
    <w:rsid w:val="00DD0131"/>
    <w:rsid w:val="00DD059C"/>
    <w:rsid w:val="00DD14D3"/>
    <w:rsid w:val="00DD29C7"/>
    <w:rsid w:val="00DD466A"/>
    <w:rsid w:val="00DD5BC0"/>
    <w:rsid w:val="00DE1994"/>
    <w:rsid w:val="00DE242F"/>
    <w:rsid w:val="00DE5D7A"/>
    <w:rsid w:val="00DE5F9B"/>
    <w:rsid w:val="00DE60DF"/>
    <w:rsid w:val="00DE66FF"/>
    <w:rsid w:val="00DE7107"/>
    <w:rsid w:val="00DF12DE"/>
    <w:rsid w:val="00DF1DE4"/>
    <w:rsid w:val="00E032DC"/>
    <w:rsid w:val="00E03300"/>
    <w:rsid w:val="00E0384F"/>
    <w:rsid w:val="00E03F81"/>
    <w:rsid w:val="00E04F95"/>
    <w:rsid w:val="00E107A8"/>
    <w:rsid w:val="00E109AA"/>
    <w:rsid w:val="00E15CD2"/>
    <w:rsid w:val="00E20E46"/>
    <w:rsid w:val="00E2110E"/>
    <w:rsid w:val="00E217C8"/>
    <w:rsid w:val="00E21C18"/>
    <w:rsid w:val="00E22023"/>
    <w:rsid w:val="00E278A0"/>
    <w:rsid w:val="00E35AD6"/>
    <w:rsid w:val="00E360F1"/>
    <w:rsid w:val="00E41467"/>
    <w:rsid w:val="00E45AD9"/>
    <w:rsid w:val="00E46E57"/>
    <w:rsid w:val="00E630C3"/>
    <w:rsid w:val="00E65D53"/>
    <w:rsid w:val="00E667B4"/>
    <w:rsid w:val="00E775D6"/>
    <w:rsid w:val="00E7777F"/>
    <w:rsid w:val="00E7795F"/>
    <w:rsid w:val="00E8194A"/>
    <w:rsid w:val="00E9004C"/>
    <w:rsid w:val="00EA48A1"/>
    <w:rsid w:val="00EA75EE"/>
    <w:rsid w:val="00EA7A13"/>
    <w:rsid w:val="00EB16B8"/>
    <w:rsid w:val="00EB36B0"/>
    <w:rsid w:val="00EB6C65"/>
    <w:rsid w:val="00EB6C67"/>
    <w:rsid w:val="00EC2ED0"/>
    <w:rsid w:val="00EC3BA2"/>
    <w:rsid w:val="00EC3BE1"/>
    <w:rsid w:val="00EC7A77"/>
    <w:rsid w:val="00ED0AA7"/>
    <w:rsid w:val="00ED1FC6"/>
    <w:rsid w:val="00ED471D"/>
    <w:rsid w:val="00EE061A"/>
    <w:rsid w:val="00EE3618"/>
    <w:rsid w:val="00EE3FE4"/>
    <w:rsid w:val="00EE5376"/>
    <w:rsid w:val="00EE6350"/>
    <w:rsid w:val="00EF6B50"/>
    <w:rsid w:val="00F00B78"/>
    <w:rsid w:val="00F013DF"/>
    <w:rsid w:val="00F01AF3"/>
    <w:rsid w:val="00F0257C"/>
    <w:rsid w:val="00F0590F"/>
    <w:rsid w:val="00F06383"/>
    <w:rsid w:val="00F1312B"/>
    <w:rsid w:val="00F155AA"/>
    <w:rsid w:val="00F2425B"/>
    <w:rsid w:val="00F24870"/>
    <w:rsid w:val="00F27104"/>
    <w:rsid w:val="00F35A67"/>
    <w:rsid w:val="00F3688F"/>
    <w:rsid w:val="00F519E4"/>
    <w:rsid w:val="00F51A88"/>
    <w:rsid w:val="00F54FAB"/>
    <w:rsid w:val="00F556F5"/>
    <w:rsid w:val="00F65B9A"/>
    <w:rsid w:val="00F66F1C"/>
    <w:rsid w:val="00F703A8"/>
    <w:rsid w:val="00F71F76"/>
    <w:rsid w:val="00F76455"/>
    <w:rsid w:val="00F779EF"/>
    <w:rsid w:val="00F825FD"/>
    <w:rsid w:val="00F8338A"/>
    <w:rsid w:val="00F878DB"/>
    <w:rsid w:val="00F93E0B"/>
    <w:rsid w:val="00F94B52"/>
    <w:rsid w:val="00F968C6"/>
    <w:rsid w:val="00FA25F9"/>
    <w:rsid w:val="00FA2EEB"/>
    <w:rsid w:val="00FA340B"/>
    <w:rsid w:val="00FA3655"/>
    <w:rsid w:val="00FA4908"/>
    <w:rsid w:val="00FA4CA7"/>
    <w:rsid w:val="00FA6B1B"/>
    <w:rsid w:val="00FC07CF"/>
    <w:rsid w:val="00FD1B9C"/>
    <w:rsid w:val="00FD38D0"/>
    <w:rsid w:val="00FD5102"/>
    <w:rsid w:val="00FD791D"/>
    <w:rsid w:val="00FE3333"/>
    <w:rsid w:val="00FE5696"/>
    <w:rsid w:val="00FE58FA"/>
    <w:rsid w:val="00FE5E43"/>
    <w:rsid w:val="00FE60E3"/>
    <w:rsid w:val="00FE7E4C"/>
    <w:rsid w:val="00FF04B3"/>
    <w:rsid w:val="00FF4204"/>
    <w:rsid w:val="00FF71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8DBC1E"/>
  <w15:chartTrackingRefBased/>
  <w15:docId w15:val="{BCDA715B-87C2-423D-B445-E51B947CF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431"/>
    <w:pPr>
      <w:spacing w:after="0" w:line="240" w:lineRule="auto"/>
      <w:jc w:val="left"/>
    </w:pPr>
    <w:rPr>
      <w:rFonts w:ascii="Times New Roman" w:eastAsia="Times New Roman" w:hAnsi="Times New Roman" w:cs="Times New Roman"/>
      <w:kern w:val="0"/>
      <w:sz w:val="24"/>
      <w:szCs w:val="24"/>
      <w:lang w:eastAsia="en-US"/>
    </w:rPr>
  </w:style>
  <w:style w:type="paragraph" w:styleId="Heading1">
    <w:name w:val="heading 1"/>
    <w:basedOn w:val="a"/>
    <w:next w:val="Normal"/>
    <w:link w:val="Heading1Char"/>
    <w:uiPriority w:val="9"/>
    <w:qFormat/>
    <w:rsid w:val="00474523"/>
    <w:pPr>
      <w:wordWrap/>
      <w:spacing w:line="264" w:lineRule="auto"/>
      <w:ind w:left="400" w:hanging="400"/>
      <w:jc w:val="left"/>
      <w:outlineLvl w:val="0"/>
    </w:pPr>
    <w:rPr>
      <w:rFonts w:ascii="Times New Roman" w:eastAsia="휴먼명조" w:hAnsi="Times New Roman" w:cs="Times New Roman"/>
      <w:sz w:val="24"/>
      <w:szCs w:val="24"/>
    </w:rPr>
  </w:style>
  <w:style w:type="paragraph" w:styleId="Heading2">
    <w:name w:val="heading 2"/>
    <w:basedOn w:val="a"/>
    <w:next w:val="Normal"/>
    <w:link w:val="Heading2Char"/>
    <w:uiPriority w:val="9"/>
    <w:unhideWhenUsed/>
    <w:qFormat/>
    <w:rsid w:val="00474523"/>
    <w:pPr>
      <w:wordWrap/>
      <w:spacing w:line="264" w:lineRule="auto"/>
      <w:ind w:left="268" w:hanging="268"/>
      <w:jc w:val="left"/>
      <w:outlineLvl w:val="1"/>
    </w:pPr>
    <w:rPr>
      <w:rFonts w:ascii="Times New Roman" w:eastAsia="KoPubWorld바탕체 Light" w:hAnsi="Times New Roman" w:cs="Times New Roman"/>
      <w:sz w:val="22"/>
      <w:szCs w:val="22"/>
    </w:rPr>
  </w:style>
  <w:style w:type="paragraph" w:styleId="Heading3">
    <w:name w:val="heading 3"/>
    <w:basedOn w:val="a"/>
    <w:next w:val="Normal"/>
    <w:link w:val="Heading3Char"/>
    <w:uiPriority w:val="9"/>
    <w:unhideWhenUsed/>
    <w:qFormat/>
    <w:rsid w:val="00474523"/>
    <w:pPr>
      <w:wordWrap/>
      <w:spacing w:line="264" w:lineRule="auto"/>
      <w:ind w:left="204" w:hanging="204"/>
      <w:jc w:val="left"/>
      <w:outlineLvl w:val="2"/>
    </w:pPr>
    <w:rPr>
      <w:rFonts w:ascii="Times New Roman" w:eastAsia="휴먼명조" w:hAnsi="Times New Roman" w:cs="Times New Roman"/>
      <w:i/>
      <w:iCs/>
      <w:spacing w:val="-20"/>
      <w:sz w:val="18"/>
      <w:szCs w:val="18"/>
    </w:rPr>
  </w:style>
  <w:style w:type="paragraph" w:styleId="Heading4">
    <w:name w:val="heading 4"/>
    <w:basedOn w:val="Normal"/>
    <w:next w:val="Normal"/>
    <w:link w:val="Heading4Char"/>
    <w:uiPriority w:val="9"/>
    <w:semiHidden/>
    <w:unhideWhenUsed/>
    <w:rsid w:val="00122EDC"/>
    <w:pPr>
      <w:keepNext/>
      <w:keepLines/>
      <w:widowControl w:val="0"/>
      <w:wordWrap w:val="0"/>
      <w:autoSpaceDE w:val="0"/>
      <w:autoSpaceDN w:val="0"/>
      <w:spacing w:before="40" w:line="259" w:lineRule="auto"/>
      <w:jc w:val="both"/>
      <w:outlineLvl w:val="3"/>
    </w:pPr>
    <w:rPr>
      <w:rFonts w:asciiTheme="majorHAnsi" w:eastAsiaTheme="majorEastAsia" w:hAnsiTheme="majorHAnsi" w:cstheme="majorBidi"/>
      <w:i/>
      <w:iCs/>
      <w:color w:val="2F5496" w:themeColor="accent1" w:themeShade="BF"/>
      <w:kern w:val="2"/>
      <w:sz w:val="20"/>
      <w:szCs w:val="22"/>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basedOn w:val="Normal"/>
    <w:rsid w:val="004A451D"/>
    <w:pPr>
      <w:widowControl w:val="0"/>
      <w:wordWrap w:val="0"/>
      <w:autoSpaceDE w:val="0"/>
      <w:autoSpaceDN w:val="0"/>
      <w:spacing w:line="384" w:lineRule="auto"/>
      <w:jc w:val="both"/>
      <w:textAlignment w:val="baseline"/>
    </w:pPr>
    <w:rPr>
      <w:rFonts w:ascii="함초롬바탕" w:eastAsia="Gulim" w:hAnsi="Gulim" w:cs="Gulim"/>
      <w:color w:val="000000"/>
      <w:sz w:val="20"/>
      <w:szCs w:val="20"/>
      <w:lang w:val="en-US" w:eastAsia="ko-KR"/>
    </w:rPr>
  </w:style>
  <w:style w:type="paragraph" w:styleId="ListParagraph">
    <w:name w:val="List Paragraph"/>
    <w:basedOn w:val="Normal"/>
    <w:uiPriority w:val="34"/>
    <w:qFormat/>
    <w:rsid w:val="004A451D"/>
    <w:pPr>
      <w:widowControl w:val="0"/>
      <w:wordWrap w:val="0"/>
      <w:autoSpaceDE w:val="0"/>
      <w:autoSpaceDN w:val="0"/>
      <w:spacing w:after="160" w:line="259" w:lineRule="auto"/>
      <w:ind w:leftChars="400" w:left="800"/>
      <w:jc w:val="both"/>
    </w:pPr>
    <w:rPr>
      <w:rFonts w:asciiTheme="minorHAnsi" w:eastAsiaTheme="minorEastAsia" w:hAnsiTheme="minorHAnsi" w:cstheme="minorBidi"/>
      <w:kern w:val="2"/>
      <w:sz w:val="20"/>
      <w:szCs w:val="22"/>
      <w:lang w:val="en-US" w:eastAsia="ko-KR"/>
    </w:rPr>
  </w:style>
  <w:style w:type="paragraph" w:styleId="Header">
    <w:name w:val="header"/>
    <w:basedOn w:val="Normal"/>
    <w:link w:val="HeaderChar"/>
    <w:uiPriority w:val="99"/>
    <w:unhideWhenUsed/>
    <w:rsid w:val="00A641C5"/>
    <w:pPr>
      <w:widowControl w:val="0"/>
      <w:tabs>
        <w:tab w:val="center" w:pos="4513"/>
        <w:tab w:val="right" w:pos="9026"/>
      </w:tabs>
      <w:wordWrap w:val="0"/>
      <w:autoSpaceDE w:val="0"/>
      <w:autoSpaceDN w:val="0"/>
      <w:snapToGrid w:val="0"/>
      <w:spacing w:after="160" w:line="259" w:lineRule="auto"/>
      <w:jc w:val="both"/>
    </w:pPr>
    <w:rPr>
      <w:rFonts w:asciiTheme="minorHAnsi" w:eastAsiaTheme="minorEastAsia" w:hAnsiTheme="minorHAnsi" w:cstheme="minorBidi"/>
      <w:kern w:val="2"/>
      <w:sz w:val="20"/>
      <w:szCs w:val="22"/>
      <w:lang w:val="en-US" w:eastAsia="ko-KR"/>
    </w:rPr>
  </w:style>
  <w:style w:type="character" w:customStyle="1" w:styleId="HeaderChar">
    <w:name w:val="Header Char"/>
    <w:basedOn w:val="DefaultParagraphFont"/>
    <w:link w:val="Header"/>
    <w:uiPriority w:val="99"/>
    <w:rsid w:val="00A641C5"/>
  </w:style>
  <w:style w:type="paragraph" w:styleId="Footer">
    <w:name w:val="footer"/>
    <w:basedOn w:val="Normal"/>
    <w:link w:val="FooterChar"/>
    <w:uiPriority w:val="99"/>
    <w:unhideWhenUsed/>
    <w:rsid w:val="00A641C5"/>
    <w:pPr>
      <w:widowControl w:val="0"/>
      <w:tabs>
        <w:tab w:val="center" w:pos="4513"/>
        <w:tab w:val="right" w:pos="9026"/>
      </w:tabs>
      <w:wordWrap w:val="0"/>
      <w:autoSpaceDE w:val="0"/>
      <w:autoSpaceDN w:val="0"/>
      <w:snapToGrid w:val="0"/>
      <w:spacing w:after="160" w:line="259" w:lineRule="auto"/>
      <w:jc w:val="both"/>
    </w:pPr>
    <w:rPr>
      <w:rFonts w:asciiTheme="minorHAnsi" w:eastAsiaTheme="minorEastAsia" w:hAnsiTheme="minorHAnsi" w:cstheme="minorBidi"/>
      <w:kern w:val="2"/>
      <w:sz w:val="20"/>
      <w:szCs w:val="22"/>
      <w:lang w:val="en-US" w:eastAsia="ko-KR"/>
    </w:rPr>
  </w:style>
  <w:style w:type="character" w:customStyle="1" w:styleId="FooterChar">
    <w:name w:val="Footer Char"/>
    <w:basedOn w:val="DefaultParagraphFont"/>
    <w:link w:val="Footer"/>
    <w:uiPriority w:val="99"/>
    <w:rsid w:val="00A641C5"/>
  </w:style>
  <w:style w:type="character" w:customStyle="1" w:styleId="Heading1Char">
    <w:name w:val="Heading 1 Char"/>
    <w:basedOn w:val="DefaultParagraphFont"/>
    <w:link w:val="Heading1"/>
    <w:uiPriority w:val="9"/>
    <w:rsid w:val="00474523"/>
    <w:rPr>
      <w:rFonts w:ascii="Times New Roman" w:eastAsia="휴먼명조" w:hAnsi="Times New Roman" w:cs="Times New Roman"/>
      <w:color w:val="000000"/>
      <w:kern w:val="0"/>
      <w:sz w:val="24"/>
      <w:szCs w:val="24"/>
    </w:rPr>
  </w:style>
  <w:style w:type="character" w:customStyle="1" w:styleId="Heading2Char">
    <w:name w:val="Heading 2 Char"/>
    <w:basedOn w:val="DefaultParagraphFont"/>
    <w:link w:val="Heading2"/>
    <w:uiPriority w:val="9"/>
    <w:rsid w:val="00474523"/>
    <w:rPr>
      <w:rFonts w:ascii="Times New Roman" w:eastAsia="KoPubWorld바탕체 Light" w:hAnsi="Times New Roman" w:cs="Times New Roman"/>
      <w:color w:val="000000"/>
      <w:kern w:val="0"/>
      <w:sz w:val="22"/>
    </w:rPr>
  </w:style>
  <w:style w:type="character" w:customStyle="1" w:styleId="Heading3Char">
    <w:name w:val="Heading 3 Char"/>
    <w:basedOn w:val="DefaultParagraphFont"/>
    <w:link w:val="Heading3"/>
    <w:uiPriority w:val="9"/>
    <w:rsid w:val="00474523"/>
    <w:rPr>
      <w:rFonts w:ascii="Times New Roman" w:eastAsia="휴먼명조" w:hAnsi="Times New Roman" w:cs="Times New Roman"/>
      <w:i/>
      <w:iCs/>
      <w:color w:val="000000"/>
      <w:spacing w:val="-20"/>
      <w:kern w:val="0"/>
      <w:sz w:val="18"/>
      <w:szCs w:val="18"/>
    </w:rPr>
  </w:style>
  <w:style w:type="paragraph" w:styleId="NoSpacing">
    <w:name w:val="No Spacing"/>
    <w:aliases w:val="No Spacing-text in passage"/>
    <w:basedOn w:val="a"/>
    <w:uiPriority w:val="1"/>
    <w:qFormat/>
    <w:rsid w:val="00474523"/>
    <w:pPr>
      <w:spacing w:line="338" w:lineRule="auto"/>
      <w:ind w:firstLine="200"/>
      <w:textAlignment w:val="center"/>
    </w:pPr>
    <w:rPr>
      <w:rFonts w:ascii="Times New Roman" w:eastAsia="함초롬바탕" w:hAnsi="Times New Roman" w:cs="Times New Roman"/>
      <w:spacing w:val="-2"/>
      <w:w w:val="98"/>
      <w:sz w:val="19"/>
      <w:szCs w:val="19"/>
    </w:rPr>
  </w:style>
  <w:style w:type="paragraph" w:styleId="Caption">
    <w:name w:val="caption"/>
    <w:basedOn w:val="Normal"/>
    <w:next w:val="Normal"/>
    <w:uiPriority w:val="35"/>
    <w:unhideWhenUsed/>
    <w:qFormat/>
    <w:rsid w:val="003D1C43"/>
    <w:pPr>
      <w:keepNext/>
      <w:widowControl w:val="0"/>
      <w:wordWrap w:val="0"/>
      <w:autoSpaceDE w:val="0"/>
      <w:autoSpaceDN w:val="0"/>
      <w:jc w:val="both"/>
    </w:pPr>
    <w:rPr>
      <w:rFonts w:ascii="Constantia" w:eastAsia="함초롬바탕" w:hAnsi="Constantia" w:cs="Gulim"/>
      <w:color w:val="000000"/>
      <w:position w:val="2"/>
      <w:sz w:val="16"/>
      <w:szCs w:val="16"/>
      <w:lang w:val="en-US" w:eastAsia="ko-KR"/>
    </w:rPr>
  </w:style>
  <w:style w:type="paragraph" w:styleId="Subtitle">
    <w:name w:val="Subtitle"/>
    <w:aliases w:val="Text in Table"/>
    <w:basedOn w:val="Normal"/>
    <w:next w:val="Normal"/>
    <w:link w:val="SubtitleChar"/>
    <w:uiPriority w:val="11"/>
    <w:qFormat/>
    <w:rsid w:val="00117F2A"/>
    <w:pPr>
      <w:widowControl w:val="0"/>
      <w:wordWrap w:val="0"/>
      <w:autoSpaceDE w:val="0"/>
      <w:autoSpaceDN w:val="0"/>
      <w:snapToGrid w:val="0"/>
      <w:spacing w:line="288" w:lineRule="auto"/>
      <w:jc w:val="both"/>
      <w:textAlignment w:val="baseline"/>
    </w:pPr>
    <w:rPr>
      <w:rFonts w:eastAsia="함초롬바탕"/>
      <w:color w:val="000000"/>
      <w:sz w:val="16"/>
      <w:szCs w:val="16"/>
      <w:lang w:val="en-US" w:eastAsia="ko-KR"/>
    </w:rPr>
  </w:style>
  <w:style w:type="character" w:customStyle="1" w:styleId="SubtitleChar">
    <w:name w:val="Subtitle Char"/>
    <w:aliases w:val="Text in Table Char"/>
    <w:basedOn w:val="DefaultParagraphFont"/>
    <w:link w:val="Subtitle"/>
    <w:uiPriority w:val="11"/>
    <w:rsid w:val="00117F2A"/>
    <w:rPr>
      <w:rFonts w:ascii="Times New Roman" w:eastAsia="함초롬바탕" w:hAnsi="Times New Roman" w:cs="Times New Roman"/>
      <w:color w:val="000000"/>
      <w:kern w:val="0"/>
      <w:sz w:val="16"/>
      <w:szCs w:val="16"/>
    </w:rPr>
  </w:style>
  <w:style w:type="character" w:styleId="Hyperlink">
    <w:name w:val="Hyperlink"/>
    <w:basedOn w:val="DefaultParagraphFont"/>
    <w:uiPriority w:val="99"/>
    <w:unhideWhenUsed/>
    <w:rsid w:val="00F71F76"/>
    <w:rPr>
      <w:color w:val="0563C1" w:themeColor="hyperlink"/>
      <w:u w:val="single"/>
    </w:rPr>
  </w:style>
  <w:style w:type="character" w:styleId="UnresolvedMention">
    <w:name w:val="Unresolved Mention"/>
    <w:basedOn w:val="DefaultParagraphFont"/>
    <w:uiPriority w:val="99"/>
    <w:semiHidden/>
    <w:unhideWhenUsed/>
    <w:rsid w:val="00F71F76"/>
    <w:rPr>
      <w:color w:val="605E5C"/>
      <w:shd w:val="clear" w:color="auto" w:fill="E1DFDD"/>
    </w:rPr>
  </w:style>
  <w:style w:type="paragraph" w:styleId="NormalWeb">
    <w:name w:val="Normal (Web)"/>
    <w:basedOn w:val="Normal"/>
    <w:uiPriority w:val="99"/>
    <w:semiHidden/>
    <w:unhideWhenUsed/>
    <w:rsid w:val="008F4687"/>
    <w:pPr>
      <w:widowControl w:val="0"/>
      <w:wordWrap w:val="0"/>
      <w:autoSpaceDE w:val="0"/>
      <w:autoSpaceDN w:val="0"/>
      <w:spacing w:after="160" w:line="259" w:lineRule="auto"/>
      <w:jc w:val="both"/>
    </w:pPr>
    <w:rPr>
      <w:rFonts w:eastAsiaTheme="minorEastAsia"/>
      <w:kern w:val="2"/>
      <w:lang w:val="en-US" w:eastAsia="ko-KR"/>
    </w:rPr>
  </w:style>
  <w:style w:type="table" w:styleId="TableGrid">
    <w:name w:val="Table Grid"/>
    <w:basedOn w:val="TableNormal"/>
    <w:uiPriority w:val="39"/>
    <w:rsid w:val="000D0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A340B"/>
    <w:rPr>
      <w:b/>
      <w:bCs/>
    </w:rPr>
  </w:style>
  <w:style w:type="character" w:customStyle="1" w:styleId="Heading4Char">
    <w:name w:val="Heading 4 Char"/>
    <w:basedOn w:val="DefaultParagraphFont"/>
    <w:link w:val="Heading4"/>
    <w:uiPriority w:val="9"/>
    <w:semiHidden/>
    <w:rsid w:val="00122ED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9040">
      <w:bodyDiv w:val="1"/>
      <w:marLeft w:val="0"/>
      <w:marRight w:val="0"/>
      <w:marTop w:val="0"/>
      <w:marBottom w:val="0"/>
      <w:divBdr>
        <w:top w:val="none" w:sz="0" w:space="0" w:color="auto"/>
        <w:left w:val="none" w:sz="0" w:space="0" w:color="auto"/>
        <w:bottom w:val="none" w:sz="0" w:space="0" w:color="auto"/>
        <w:right w:val="none" w:sz="0" w:space="0" w:color="auto"/>
      </w:divBdr>
      <w:divsChild>
        <w:div w:id="876895288">
          <w:marLeft w:val="0"/>
          <w:marRight w:val="0"/>
          <w:marTop w:val="0"/>
          <w:marBottom w:val="0"/>
          <w:divBdr>
            <w:top w:val="none" w:sz="0" w:space="0" w:color="auto"/>
            <w:left w:val="none" w:sz="0" w:space="0" w:color="auto"/>
            <w:bottom w:val="none" w:sz="0" w:space="0" w:color="auto"/>
            <w:right w:val="none" w:sz="0" w:space="0" w:color="auto"/>
          </w:divBdr>
        </w:div>
        <w:div w:id="1954090759">
          <w:marLeft w:val="0"/>
          <w:marRight w:val="0"/>
          <w:marTop w:val="0"/>
          <w:marBottom w:val="0"/>
          <w:divBdr>
            <w:top w:val="none" w:sz="0" w:space="0" w:color="auto"/>
            <w:left w:val="none" w:sz="0" w:space="0" w:color="auto"/>
            <w:bottom w:val="none" w:sz="0" w:space="0" w:color="auto"/>
            <w:right w:val="none" w:sz="0" w:space="0" w:color="auto"/>
          </w:divBdr>
        </w:div>
      </w:divsChild>
    </w:div>
    <w:div w:id="41639724">
      <w:bodyDiv w:val="1"/>
      <w:marLeft w:val="0"/>
      <w:marRight w:val="0"/>
      <w:marTop w:val="0"/>
      <w:marBottom w:val="0"/>
      <w:divBdr>
        <w:top w:val="none" w:sz="0" w:space="0" w:color="auto"/>
        <w:left w:val="none" w:sz="0" w:space="0" w:color="auto"/>
        <w:bottom w:val="none" w:sz="0" w:space="0" w:color="auto"/>
        <w:right w:val="none" w:sz="0" w:space="0" w:color="auto"/>
      </w:divBdr>
    </w:div>
    <w:div w:id="93716842">
      <w:bodyDiv w:val="1"/>
      <w:marLeft w:val="0"/>
      <w:marRight w:val="0"/>
      <w:marTop w:val="0"/>
      <w:marBottom w:val="0"/>
      <w:divBdr>
        <w:top w:val="none" w:sz="0" w:space="0" w:color="auto"/>
        <w:left w:val="none" w:sz="0" w:space="0" w:color="auto"/>
        <w:bottom w:val="none" w:sz="0" w:space="0" w:color="auto"/>
        <w:right w:val="none" w:sz="0" w:space="0" w:color="auto"/>
      </w:divBdr>
    </w:div>
    <w:div w:id="135730924">
      <w:bodyDiv w:val="1"/>
      <w:marLeft w:val="0"/>
      <w:marRight w:val="0"/>
      <w:marTop w:val="0"/>
      <w:marBottom w:val="0"/>
      <w:divBdr>
        <w:top w:val="none" w:sz="0" w:space="0" w:color="auto"/>
        <w:left w:val="none" w:sz="0" w:space="0" w:color="auto"/>
        <w:bottom w:val="none" w:sz="0" w:space="0" w:color="auto"/>
        <w:right w:val="none" w:sz="0" w:space="0" w:color="auto"/>
      </w:divBdr>
      <w:divsChild>
        <w:div w:id="515000659">
          <w:marLeft w:val="0"/>
          <w:marRight w:val="0"/>
          <w:marTop w:val="0"/>
          <w:marBottom w:val="0"/>
          <w:divBdr>
            <w:top w:val="none" w:sz="0" w:space="0" w:color="auto"/>
            <w:left w:val="none" w:sz="0" w:space="0" w:color="auto"/>
            <w:bottom w:val="none" w:sz="0" w:space="0" w:color="auto"/>
            <w:right w:val="none" w:sz="0" w:space="0" w:color="auto"/>
          </w:divBdr>
        </w:div>
        <w:div w:id="490635136">
          <w:marLeft w:val="0"/>
          <w:marRight w:val="0"/>
          <w:marTop w:val="0"/>
          <w:marBottom w:val="0"/>
          <w:divBdr>
            <w:top w:val="none" w:sz="0" w:space="0" w:color="auto"/>
            <w:left w:val="none" w:sz="0" w:space="0" w:color="auto"/>
            <w:bottom w:val="none" w:sz="0" w:space="0" w:color="auto"/>
            <w:right w:val="none" w:sz="0" w:space="0" w:color="auto"/>
          </w:divBdr>
        </w:div>
      </w:divsChild>
    </w:div>
    <w:div w:id="278994942">
      <w:bodyDiv w:val="1"/>
      <w:marLeft w:val="0"/>
      <w:marRight w:val="0"/>
      <w:marTop w:val="0"/>
      <w:marBottom w:val="0"/>
      <w:divBdr>
        <w:top w:val="none" w:sz="0" w:space="0" w:color="auto"/>
        <w:left w:val="none" w:sz="0" w:space="0" w:color="auto"/>
        <w:bottom w:val="none" w:sz="0" w:space="0" w:color="auto"/>
        <w:right w:val="none" w:sz="0" w:space="0" w:color="auto"/>
      </w:divBdr>
    </w:div>
    <w:div w:id="284849331">
      <w:bodyDiv w:val="1"/>
      <w:marLeft w:val="0"/>
      <w:marRight w:val="0"/>
      <w:marTop w:val="0"/>
      <w:marBottom w:val="0"/>
      <w:divBdr>
        <w:top w:val="none" w:sz="0" w:space="0" w:color="auto"/>
        <w:left w:val="none" w:sz="0" w:space="0" w:color="auto"/>
        <w:bottom w:val="none" w:sz="0" w:space="0" w:color="auto"/>
        <w:right w:val="none" w:sz="0" w:space="0" w:color="auto"/>
      </w:divBdr>
    </w:div>
    <w:div w:id="355084695">
      <w:bodyDiv w:val="1"/>
      <w:marLeft w:val="0"/>
      <w:marRight w:val="0"/>
      <w:marTop w:val="0"/>
      <w:marBottom w:val="0"/>
      <w:divBdr>
        <w:top w:val="none" w:sz="0" w:space="0" w:color="auto"/>
        <w:left w:val="none" w:sz="0" w:space="0" w:color="auto"/>
        <w:bottom w:val="none" w:sz="0" w:space="0" w:color="auto"/>
        <w:right w:val="none" w:sz="0" w:space="0" w:color="auto"/>
      </w:divBdr>
      <w:divsChild>
        <w:div w:id="2007586346">
          <w:marLeft w:val="0"/>
          <w:marRight w:val="0"/>
          <w:marTop w:val="0"/>
          <w:marBottom w:val="0"/>
          <w:divBdr>
            <w:top w:val="none" w:sz="0" w:space="0" w:color="auto"/>
            <w:left w:val="none" w:sz="0" w:space="0" w:color="auto"/>
            <w:bottom w:val="none" w:sz="0" w:space="0" w:color="auto"/>
            <w:right w:val="none" w:sz="0" w:space="0" w:color="auto"/>
          </w:divBdr>
        </w:div>
        <w:div w:id="934438413">
          <w:marLeft w:val="0"/>
          <w:marRight w:val="0"/>
          <w:marTop w:val="0"/>
          <w:marBottom w:val="0"/>
          <w:divBdr>
            <w:top w:val="none" w:sz="0" w:space="0" w:color="auto"/>
            <w:left w:val="none" w:sz="0" w:space="0" w:color="auto"/>
            <w:bottom w:val="none" w:sz="0" w:space="0" w:color="auto"/>
            <w:right w:val="none" w:sz="0" w:space="0" w:color="auto"/>
          </w:divBdr>
        </w:div>
      </w:divsChild>
    </w:div>
    <w:div w:id="567691675">
      <w:bodyDiv w:val="1"/>
      <w:marLeft w:val="0"/>
      <w:marRight w:val="0"/>
      <w:marTop w:val="0"/>
      <w:marBottom w:val="0"/>
      <w:divBdr>
        <w:top w:val="none" w:sz="0" w:space="0" w:color="auto"/>
        <w:left w:val="none" w:sz="0" w:space="0" w:color="auto"/>
        <w:bottom w:val="none" w:sz="0" w:space="0" w:color="auto"/>
        <w:right w:val="none" w:sz="0" w:space="0" w:color="auto"/>
      </w:divBdr>
    </w:div>
    <w:div w:id="835921509">
      <w:bodyDiv w:val="1"/>
      <w:marLeft w:val="0"/>
      <w:marRight w:val="0"/>
      <w:marTop w:val="0"/>
      <w:marBottom w:val="0"/>
      <w:divBdr>
        <w:top w:val="none" w:sz="0" w:space="0" w:color="auto"/>
        <w:left w:val="none" w:sz="0" w:space="0" w:color="auto"/>
        <w:bottom w:val="none" w:sz="0" w:space="0" w:color="auto"/>
        <w:right w:val="none" w:sz="0" w:space="0" w:color="auto"/>
      </w:divBdr>
    </w:div>
    <w:div w:id="851066457">
      <w:bodyDiv w:val="1"/>
      <w:marLeft w:val="0"/>
      <w:marRight w:val="0"/>
      <w:marTop w:val="0"/>
      <w:marBottom w:val="0"/>
      <w:divBdr>
        <w:top w:val="none" w:sz="0" w:space="0" w:color="auto"/>
        <w:left w:val="none" w:sz="0" w:space="0" w:color="auto"/>
        <w:bottom w:val="none" w:sz="0" w:space="0" w:color="auto"/>
        <w:right w:val="none" w:sz="0" w:space="0" w:color="auto"/>
      </w:divBdr>
      <w:divsChild>
        <w:div w:id="1588615609">
          <w:marLeft w:val="0"/>
          <w:marRight w:val="0"/>
          <w:marTop w:val="0"/>
          <w:marBottom w:val="0"/>
          <w:divBdr>
            <w:top w:val="none" w:sz="0" w:space="0" w:color="auto"/>
            <w:left w:val="none" w:sz="0" w:space="0" w:color="auto"/>
            <w:bottom w:val="none" w:sz="0" w:space="0" w:color="auto"/>
            <w:right w:val="none" w:sz="0" w:space="0" w:color="auto"/>
          </w:divBdr>
        </w:div>
        <w:div w:id="1127161181">
          <w:marLeft w:val="0"/>
          <w:marRight w:val="0"/>
          <w:marTop w:val="0"/>
          <w:marBottom w:val="0"/>
          <w:divBdr>
            <w:top w:val="none" w:sz="0" w:space="0" w:color="auto"/>
            <w:left w:val="none" w:sz="0" w:space="0" w:color="auto"/>
            <w:bottom w:val="none" w:sz="0" w:space="0" w:color="auto"/>
            <w:right w:val="none" w:sz="0" w:space="0" w:color="auto"/>
          </w:divBdr>
        </w:div>
      </w:divsChild>
    </w:div>
    <w:div w:id="884171312">
      <w:bodyDiv w:val="1"/>
      <w:marLeft w:val="0"/>
      <w:marRight w:val="0"/>
      <w:marTop w:val="0"/>
      <w:marBottom w:val="0"/>
      <w:divBdr>
        <w:top w:val="none" w:sz="0" w:space="0" w:color="auto"/>
        <w:left w:val="none" w:sz="0" w:space="0" w:color="auto"/>
        <w:bottom w:val="none" w:sz="0" w:space="0" w:color="auto"/>
        <w:right w:val="none" w:sz="0" w:space="0" w:color="auto"/>
      </w:divBdr>
      <w:divsChild>
        <w:div w:id="575942841">
          <w:marLeft w:val="0"/>
          <w:marRight w:val="0"/>
          <w:marTop w:val="0"/>
          <w:marBottom w:val="0"/>
          <w:divBdr>
            <w:top w:val="none" w:sz="0" w:space="0" w:color="auto"/>
            <w:left w:val="none" w:sz="0" w:space="0" w:color="auto"/>
            <w:bottom w:val="none" w:sz="0" w:space="0" w:color="auto"/>
            <w:right w:val="none" w:sz="0" w:space="0" w:color="auto"/>
          </w:divBdr>
        </w:div>
        <w:div w:id="748843366">
          <w:marLeft w:val="0"/>
          <w:marRight w:val="0"/>
          <w:marTop w:val="0"/>
          <w:marBottom w:val="0"/>
          <w:divBdr>
            <w:top w:val="none" w:sz="0" w:space="0" w:color="auto"/>
            <w:left w:val="none" w:sz="0" w:space="0" w:color="auto"/>
            <w:bottom w:val="none" w:sz="0" w:space="0" w:color="auto"/>
            <w:right w:val="none" w:sz="0" w:space="0" w:color="auto"/>
          </w:divBdr>
        </w:div>
      </w:divsChild>
    </w:div>
    <w:div w:id="961038871">
      <w:bodyDiv w:val="1"/>
      <w:marLeft w:val="0"/>
      <w:marRight w:val="0"/>
      <w:marTop w:val="0"/>
      <w:marBottom w:val="0"/>
      <w:divBdr>
        <w:top w:val="none" w:sz="0" w:space="0" w:color="auto"/>
        <w:left w:val="none" w:sz="0" w:space="0" w:color="auto"/>
        <w:bottom w:val="none" w:sz="0" w:space="0" w:color="auto"/>
        <w:right w:val="none" w:sz="0" w:space="0" w:color="auto"/>
      </w:divBdr>
    </w:div>
    <w:div w:id="1038550787">
      <w:bodyDiv w:val="1"/>
      <w:marLeft w:val="0"/>
      <w:marRight w:val="0"/>
      <w:marTop w:val="0"/>
      <w:marBottom w:val="0"/>
      <w:divBdr>
        <w:top w:val="none" w:sz="0" w:space="0" w:color="auto"/>
        <w:left w:val="none" w:sz="0" w:space="0" w:color="auto"/>
        <w:bottom w:val="none" w:sz="0" w:space="0" w:color="auto"/>
        <w:right w:val="none" w:sz="0" w:space="0" w:color="auto"/>
      </w:divBdr>
    </w:div>
    <w:div w:id="1092316311">
      <w:bodyDiv w:val="1"/>
      <w:marLeft w:val="0"/>
      <w:marRight w:val="0"/>
      <w:marTop w:val="0"/>
      <w:marBottom w:val="0"/>
      <w:divBdr>
        <w:top w:val="none" w:sz="0" w:space="0" w:color="auto"/>
        <w:left w:val="none" w:sz="0" w:space="0" w:color="auto"/>
        <w:bottom w:val="none" w:sz="0" w:space="0" w:color="auto"/>
        <w:right w:val="none" w:sz="0" w:space="0" w:color="auto"/>
      </w:divBdr>
      <w:divsChild>
        <w:div w:id="1530996016">
          <w:marLeft w:val="0"/>
          <w:marRight w:val="0"/>
          <w:marTop w:val="0"/>
          <w:marBottom w:val="0"/>
          <w:divBdr>
            <w:top w:val="none" w:sz="0" w:space="0" w:color="auto"/>
            <w:left w:val="none" w:sz="0" w:space="0" w:color="auto"/>
            <w:bottom w:val="none" w:sz="0" w:space="0" w:color="auto"/>
            <w:right w:val="none" w:sz="0" w:space="0" w:color="auto"/>
          </w:divBdr>
        </w:div>
        <w:div w:id="770509768">
          <w:marLeft w:val="0"/>
          <w:marRight w:val="0"/>
          <w:marTop w:val="0"/>
          <w:marBottom w:val="0"/>
          <w:divBdr>
            <w:top w:val="none" w:sz="0" w:space="0" w:color="auto"/>
            <w:left w:val="none" w:sz="0" w:space="0" w:color="auto"/>
            <w:bottom w:val="none" w:sz="0" w:space="0" w:color="auto"/>
            <w:right w:val="none" w:sz="0" w:space="0" w:color="auto"/>
          </w:divBdr>
        </w:div>
      </w:divsChild>
    </w:div>
    <w:div w:id="1092358522">
      <w:bodyDiv w:val="1"/>
      <w:marLeft w:val="0"/>
      <w:marRight w:val="0"/>
      <w:marTop w:val="0"/>
      <w:marBottom w:val="0"/>
      <w:divBdr>
        <w:top w:val="none" w:sz="0" w:space="0" w:color="auto"/>
        <w:left w:val="none" w:sz="0" w:space="0" w:color="auto"/>
        <w:bottom w:val="none" w:sz="0" w:space="0" w:color="auto"/>
        <w:right w:val="none" w:sz="0" w:space="0" w:color="auto"/>
      </w:divBdr>
    </w:div>
    <w:div w:id="1705595971">
      <w:bodyDiv w:val="1"/>
      <w:marLeft w:val="0"/>
      <w:marRight w:val="0"/>
      <w:marTop w:val="0"/>
      <w:marBottom w:val="0"/>
      <w:divBdr>
        <w:top w:val="none" w:sz="0" w:space="0" w:color="auto"/>
        <w:left w:val="none" w:sz="0" w:space="0" w:color="auto"/>
        <w:bottom w:val="none" w:sz="0" w:space="0" w:color="auto"/>
        <w:right w:val="none" w:sz="0" w:space="0" w:color="auto"/>
      </w:divBdr>
      <w:divsChild>
        <w:div w:id="2135827542">
          <w:marLeft w:val="0"/>
          <w:marRight w:val="0"/>
          <w:marTop w:val="0"/>
          <w:marBottom w:val="0"/>
          <w:divBdr>
            <w:top w:val="none" w:sz="0" w:space="0" w:color="auto"/>
            <w:left w:val="none" w:sz="0" w:space="0" w:color="auto"/>
            <w:bottom w:val="none" w:sz="0" w:space="0" w:color="auto"/>
            <w:right w:val="none" w:sz="0" w:space="0" w:color="auto"/>
          </w:divBdr>
        </w:div>
        <w:div w:id="2076276142">
          <w:marLeft w:val="0"/>
          <w:marRight w:val="0"/>
          <w:marTop w:val="0"/>
          <w:marBottom w:val="0"/>
          <w:divBdr>
            <w:top w:val="none" w:sz="0" w:space="0" w:color="auto"/>
            <w:left w:val="none" w:sz="0" w:space="0" w:color="auto"/>
            <w:bottom w:val="none" w:sz="0" w:space="0" w:color="auto"/>
            <w:right w:val="none" w:sz="0" w:space="0" w:color="auto"/>
          </w:divBdr>
        </w:div>
      </w:divsChild>
    </w:div>
    <w:div w:id="1730378282">
      <w:bodyDiv w:val="1"/>
      <w:marLeft w:val="0"/>
      <w:marRight w:val="0"/>
      <w:marTop w:val="0"/>
      <w:marBottom w:val="0"/>
      <w:divBdr>
        <w:top w:val="none" w:sz="0" w:space="0" w:color="auto"/>
        <w:left w:val="none" w:sz="0" w:space="0" w:color="auto"/>
        <w:bottom w:val="none" w:sz="0" w:space="0" w:color="auto"/>
        <w:right w:val="none" w:sz="0" w:space="0" w:color="auto"/>
      </w:divBdr>
    </w:div>
    <w:div w:id="1882594826">
      <w:bodyDiv w:val="1"/>
      <w:marLeft w:val="0"/>
      <w:marRight w:val="0"/>
      <w:marTop w:val="0"/>
      <w:marBottom w:val="0"/>
      <w:divBdr>
        <w:top w:val="none" w:sz="0" w:space="0" w:color="auto"/>
        <w:left w:val="none" w:sz="0" w:space="0" w:color="auto"/>
        <w:bottom w:val="none" w:sz="0" w:space="0" w:color="auto"/>
        <w:right w:val="none" w:sz="0" w:space="0" w:color="auto"/>
      </w:divBdr>
      <w:divsChild>
        <w:div w:id="907423359">
          <w:marLeft w:val="0"/>
          <w:marRight w:val="0"/>
          <w:marTop w:val="0"/>
          <w:marBottom w:val="0"/>
          <w:divBdr>
            <w:top w:val="none" w:sz="0" w:space="0" w:color="auto"/>
            <w:left w:val="none" w:sz="0" w:space="0" w:color="auto"/>
            <w:bottom w:val="none" w:sz="0" w:space="0" w:color="auto"/>
            <w:right w:val="none" w:sz="0" w:space="0" w:color="auto"/>
          </w:divBdr>
        </w:div>
        <w:div w:id="1307854215">
          <w:marLeft w:val="0"/>
          <w:marRight w:val="0"/>
          <w:marTop w:val="0"/>
          <w:marBottom w:val="0"/>
          <w:divBdr>
            <w:top w:val="none" w:sz="0" w:space="0" w:color="auto"/>
            <w:left w:val="none" w:sz="0" w:space="0" w:color="auto"/>
            <w:bottom w:val="none" w:sz="0" w:space="0" w:color="auto"/>
            <w:right w:val="none" w:sz="0" w:space="0" w:color="auto"/>
          </w:divBdr>
        </w:div>
      </w:divsChild>
    </w:div>
    <w:div w:id="193590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722C4-5F8E-48B5-A511-C7324B491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16</Pages>
  <Words>8169</Words>
  <Characters>46568</Characters>
  <Application>Microsoft Office Word</Application>
  <DocSecurity>0</DocSecurity>
  <Lines>388</Lines>
  <Paragraphs>109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54628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Jeong-Gil Choi</dc:creator>
  <cp:keywords/>
  <dc:description/>
  <cp:lastModifiedBy>Quanh Thi-Hoang Vo</cp:lastModifiedBy>
  <cp:revision>1181</cp:revision>
  <cp:lastPrinted>2025-03-24T05:19:00Z</cp:lastPrinted>
  <dcterms:created xsi:type="dcterms:W3CDTF">2025-03-24T05:55:00Z</dcterms:created>
  <dcterms:modified xsi:type="dcterms:W3CDTF">2026-02-27T08:05:00Z</dcterms:modified>
</cp:coreProperties>
</file>