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BÁO CÁO ĐÁNH GIÁ NGUỒN THÔNG TIN VỀ HỆ THỐNG CƠ SỞ DỮ LIỆU (CSDL) SQL SO VỚI NoSQL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CÂU HỎI NGHIÊN CỨU </w:t>
      </w:r>
    </w:p>
    <w:p w:rsidR="00000000" w:rsidDel="00000000" w:rsidP="00000000" w:rsidRDefault="00000000" w:rsidRPr="00000000" w14:paraId="00000003">
      <w:pPr>
        <w:spacing w:after="120" w:before="120" w:line="36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Câu hỏi nghiên cứu: “Ưu điểm và nhược điểm của CSDL SQL so với NoSQL trong việc xử lý dữ liệu lớn (Big Data) và các ứng dụng IT hiện đại là gì?”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TỪ KHOÁ TÌM KIẾM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108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SQL vs NoSQL comparison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108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So sánh toàn diện CSDL SQL và NoSQL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108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Scalability database IT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108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SQL, NoSQL big data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CHIẾN LƯỢC TÌM KIẾM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108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Sử dụng Google, Google Scholar để tìm các bài nghiên cứu học thuật.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108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Tìm tài liệu kỹ thuật từ trang chính thức của Oracle, MySQL, MongoDB.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108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Tìm bài viết phân tích từ blog chuyên ngành: Towards Data Science, Stack Overflow.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1080" w:right="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Sử dụng các toán tử tìm kiếm: filetype:pdf, site: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scholar.google.com,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SQLvs NoSQL.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BẢNG ĐÁNH GIÁ CRAAP CHO CÁC NGUỒN TÀI LIỆU </w:t>
      </w:r>
      <w:r w:rsidDel="00000000" w:rsidR="00000000" w:rsidRPr="00000000">
        <w:rPr>
          <w:rtl w:val="0"/>
        </w:rPr>
      </w:r>
    </w:p>
    <w:tbl>
      <w:tblPr>
        <w:tblStyle w:val="Table1"/>
        <w:tblW w:w="9518.740157480317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4.6456692913387"/>
        <w:gridCol w:w="2040.944881889764"/>
        <w:gridCol w:w="1133.8582677165355"/>
        <w:gridCol w:w="1133.8582677165355"/>
        <w:gridCol w:w="1133.8582677165355"/>
        <w:gridCol w:w="1133.8582677165355"/>
        <w:gridCol w:w="1133.8582677165355"/>
        <w:gridCol w:w="1133.8582677165355"/>
        <w:tblGridChange w:id="0">
          <w:tblGrid>
            <w:gridCol w:w="674.6456692913387"/>
            <w:gridCol w:w="2040.944881889764"/>
            <w:gridCol w:w="1133.8582677165355"/>
            <w:gridCol w:w="1133.8582677165355"/>
            <w:gridCol w:w="1133.8582677165355"/>
            <w:gridCol w:w="1133.8582677165355"/>
            <w:gridCol w:w="1133.8582677165355"/>
            <w:gridCol w:w="1133.8582677165355"/>
          </w:tblGrid>
        </w:tblGridChange>
      </w:tblGrid>
      <w:tr>
        <w:trPr>
          <w:cantSplit w:val="1"/>
          <w:trHeight w:val="113.385826771653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F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0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Nguồn tài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1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Thời sự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2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Liên quan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3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Uy quyền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4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Chính xác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5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Mục đích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Nhận xét chung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8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Comparison between SQL and NoSQL Databases and Their Relationship with Big Data Analytics (MAM MUS et al., Asian Journal of Research in Computer Science, 2019)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9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Trung bình (2019 – vẫn là tài liệu nền tảng, chưa lỗi thời)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Rất cao (trực tiếp so sánh SQL/NoSQL trong Big Data analytics, NoSQL models, CAP theorem)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B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Cao (peer-reviewed journal)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C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Cao (có bảng so sánh, tham chiếu thực nghiệm, dẫn chứng rõ ràng)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D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tin học thuật, không thương mại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E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Nguồn học thuật chất lượng cao, phù hợp làm nền tảng lý thuyết cho Big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F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0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NoSQL Vs SQL Databases – MongoDB Official Documentation (mongodb.com, cập nhật liên tục 2023-2025)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1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Rất cao (trang chính thức luôn cập nhật)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2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Rất cao (chi tiết pros/cons, use-case Big Data, scalability, unstructured data)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3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Cao (nhà cung cấp NoSQL hàng đầu, nội dung chuyên môn sâu)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4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Rất cao (dẫn chứng thực tế, ví dụ cụ thể, không mâu thuẫn kiến thức chung)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5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Giáo dục &amp; marketing nhẹ (nhấn mạnh ưu điểm MongoDB)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6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Nguồn cực kỳ đáng tin cậy về góc nhìn thực tiễn NoSQL cho ứng dụng hiện đại.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7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8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Comparing Relational and Non-Relational Database Management Systems | SQL vs NoSQL (Rian Dolphin, Towards Data Science, 2022)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9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Cao (2022 – phù hợp với xu hướng hiện tại)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A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Rất cao (phân tích schema, ACID/BASE, horizontal scaling, Big Data)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B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Trung bình-Cao (Medium/Towards Data Science, tác giả có kinh nghiệm thực tiễn)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C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Cao (bảng so sánh rõ ràng, tham chiếu CAP theorem)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D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Phân tích chuyên sâu, dễ hiểu cho 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E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viết rất dễ tiếp cận, phù hợp sinh viên và lập trình viên 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F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0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NoSQL Database and Its Comparison with SQL Database (Pankaj Sareen &amp; Parveen Kumar, International Journal of Computer Science &amp; Communication Networks, 2015)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1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Trung bình (2015 – một số khía cạnh đã thay đổi nhưng core vẫn đúng)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2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Cao (chi tiết advantages NoSQL cho Big Data, horizontal scaling, cost)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3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Cao (journal indexed)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4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Cao (có bảng so sánh, ví dụ MongoDB/Cassandra)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5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tin học thuật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6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Dù cũ hơn nhưng vẫn là tài liệu kinh điển về ưu nhược điểm cơ bản.</w:t>
            </w:r>
          </w:p>
        </w:tc>
      </w:tr>
      <w:tr>
        <w:trPr>
          <w:cantSplit w:val="0"/>
          <w:trHeight w:val="4334.648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7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8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Big Data, Big Decisions: Choosing the Right Database (Mohamed Hassan, arXiv, 2024)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9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Rất cao (2024 – mới nhất)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A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Rất cao (trực tiếp phân tích SQL/NoSQL cho Big Data, scalability, security, use-case)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B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Cao (arXiv preprint, tác giả nghiên cứu độc lập nhưng có tham chiếu tốt)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C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Rất cao (có 7 điểm so sánh chi tiết, kết luận rõ ràng)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D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Nghiên cứu, hỗ trợ quyết định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E">
            <w:pPr>
              <w:spacing w:after="120" w:before="120"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Nguồn cập nhật nhất, rất phù hợp để trả lời câu hỏi nghiên cứu năm 2025-2026.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120" w:before="120"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aagfe7gom8s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NHẬN XÉT TỔNG HỢP NGUỒN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120" w:before="120" w:line="360" w:lineRule="auto"/>
        <w:ind w:left="36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wqkfk2mfhp89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Qua đánh giá CRAAP: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120" w:before="12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Nguồn học thuật (bài báo 2019) có độ tin cậy cao nhất cho cơ sở lý thuyết.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120" w:before="12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Nguồn chính hãng (MongoDB, Oracle) mạnh về thông tin kỹ thuật nhưng có thể thiên vị sản phẩm.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120" w:before="12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 chuyên ngành cung cấp góc nhìn thực tiễn, phù hợp phân tích ứng dụng hiện đại.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120" w:before="12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Cộng đồng hỏi đáp hữu ích để hiểu vấn đề triển khai nhưng không nên dùng làm nguồn chính.</w:t>
      </w:r>
    </w:p>
    <w:p w:rsidR="00000000" w:rsidDel="00000000" w:rsidP="00000000" w:rsidRDefault="00000000" w:rsidRPr="00000000" w14:paraId="00000045">
      <w:pPr>
        <w:spacing w:after="120"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Chiến lược kết hợp nhiều loại nguồn giúp đảm bảo cái nhìn cân bằng khi so sánh SQL và NoSQL trong bối cảnh Big Data.</w:t>
      </w:r>
    </w:p>
    <w:p w:rsidR="00000000" w:rsidDel="00000000" w:rsidP="00000000" w:rsidRDefault="00000000" w:rsidRPr="00000000" w14:paraId="00000046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6.TỔNG QUAN KẾT QUẢ TỪ CÁC NGUỒN ĐÁNG TIN CẬY VỀ  CÁC KHÁC BIỆT CHÍNH GIỮA SQL/NoSQL TRONG IT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g63kjuurae6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6.1. Khái niệm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120" w:before="12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SQL: CSDL quan hệ, dữ liệu dạng bảng, schema cố định, tuân thủ ACID.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120" w:before="12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NoSQL: CSDL phi quan hệ, schema linh hoạt, nhiều mô hình (document, key-value, graph), thường theo BASE.</w:t>
      </w:r>
    </w:p>
    <w:p w:rsidR="00000000" w:rsidDel="00000000" w:rsidP="00000000" w:rsidRDefault="00000000" w:rsidRPr="00000000" w14:paraId="0000004A">
      <w:pPr>
        <w:spacing w:after="120" w:before="12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Khả năng mở rộng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120" w:before="12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SQL: mở rộng dọc (scale-up), tăng cấu hình máy chủ → tốn kém khi hệ thống lớn.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120" w:before="120" w:line="360" w:lineRule="auto"/>
        <w:ind w:left="720" w:hanging="360"/>
        <w:rPr/>
      </w:pPr>
      <w:sdt>
        <w:sdtPr>
          <w:id w:val="-1188837736"/>
          <w:tag w:val="goog_rdk_0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NoSQL: mở rộng ngang (scale-out), thêm node dễ dàng → phù hợp hệ thống phân tán và Big Data.</w:t>
          </w:r>
        </w:sdtContent>
      </w:sdt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o5gk4eic700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6.3. Tính nhất quán dữ liệu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120" w:before="12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SQL: nhất quán mạnh, đảm bảo giao dịch chính xác.</w:t>
        <w:br w:type="textWrapping"/>
        <w:t xml:space="preserve">NoSQL: thường chấp nhận nhất quán cuối cùng để đổi lấy hiệu năng và khả năng mở rộng.</w:t>
      </w:r>
    </w:p>
    <w:p w:rsidR="00000000" w:rsidDel="00000000" w:rsidP="00000000" w:rsidRDefault="00000000" w:rsidRPr="00000000" w14:paraId="0000004F">
      <w:pPr>
        <w:spacing w:after="120" w:before="12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6.4. Hiệu năng và xử lý dữ liệu lớn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120" w:before="12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SQL: mạnh với truy vấn phức tạp, JOIN nhiều bảng; kém linh hoạt khi dữ liệu cực lớn hoặc phi cấu trúc.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120" w:before="12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NoSQL: ghi/đọc nhanh với dữ liệu lớn, phi cấu trúc; hạn chế JOIN phức tạp.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b7i4l1einz7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6.5. Phù hợp ứng dụng IT của SQL và NoSQL</w:t>
      </w:r>
    </w:p>
    <w:p w:rsidR="00000000" w:rsidDel="00000000" w:rsidP="00000000" w:rsidRDefault="00000000" w:rsidRPr="00000000" w14:paraId="00000053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6.5.1.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SQL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tài chính, ngân hàng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ERP, CRM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ứng dụng cần tính chính xác cao</w:t>
      </w:r>
    </w:p>
    <w:p w:rsidR="00000000" w:rsidDel="00000000" w:rsidP="00000000" w:rsidRDefault="00000000" w:rsidRPr="00000000" w14:paraId="00000057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6.5.2.NoSQL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mạng xã hội, thương mại điện tử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Big Data, IoT, log system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kiến trúc microservices, cloud-native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eh8b42gjuj4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6.6. Ưu và nhược điểm chính</w:t>
      </w:r>
    </w:p>
    <w:p w:rsidR="00000000" w:rsidDel="00000000" w:rsidP="00000000" w:rsidRDefault="00000000" w:rsidRPr="00000000" w14:paraId="0000005C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6.6.1.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SQL – Ưu: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nhất quán mạnh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truy vấn phức tạp tốt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sinh thái trưởng thành</w:t>
      </w:r>
    </w:p>
    <w:p w:rsidR="00000000" w:rsidDel="00000000" w:rsidP="00000000" w:rsidRDefault="00000000" w:rsidRPr="00000000" w14:paraId="00000060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6.6.2.SQL – Nhược: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khó mở rộng ngang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kém linh hoạt schema</w:t>
      </w:r>
    </w:p>
    <w:p w:rsidR="00000000" w:rsidDel="00000000" w:rsidP="00000000" w:rsidRDefault="00000000" w:rsidRPr="00000000" w14:paraId="00000063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6.6.3.NoSQL – Ưu: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mở rộng ngang tốt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schema linh hoạt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hiệu năng cao với dữ liệu lớn</w:t>
      </w:r>
    </w:p>
    <w:p w:rsidR="00000000" w:rsidDel="00000000" w:rsidP="00000000" w:rsidRDefault="00000000" w:rsidRPr="00000000" w14:paraId="00000067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6.6.4.NoSQL – Nhược: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nhất quán yếu hơn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hạn chế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chuẩn hóa chưa thống nhất</w:t>
      </w:r>
    </w:p>
    <w:p w:rsidR="00000000" w:rsidDel="00000000" w:rsidP="00000000" w:rsidRDefault="00000000" w:rsidRPr="00000000" w14:paraId="0000006B">
      <w:pPr>
        <w:spacing w:after="120" w:before="12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7.NGUỒN THÔNG TIN KHÔNG ĐÁNG TIN CẬY VÀ LÝ DO LOẠI </w:t>
      </w:r>
    </w:p>
    <w:p w:rsidR="00000000" w:rsidDel="00000000" w:rsidP="00000000" w:rsidRDefault="00000000" w:rsidRPr="00000000" w14:paraId="0000006C">
      <w:pPr>
        <w:spacing w:after="120"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Nguồn loại bỏ hoặc chỉ tham khảo phụ: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Bài blog trên Towards Data Science (không phải tạp chí bình duyệt)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Sareen &amp; Kumar (2015) trên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International Journal of Computer Science &amp; Communication Networks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(quá cũ, giá trị cập nhật thấp)</w:t>
      </w:r>
    </w:p>
    <w:p w:rsidR="00000000" w:rsidDel="00000000" w:rsidP="00000000" w:rsidRDefault="00000000" w:rsidRPr="00000000" w14:paraId="0000006F">
      <w:pPr>
        <w:spacing w:after="120" w:before="12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8.DANH SÁCH TÀI LIỆU THAM KHẢO (IEEE)</w:t>
      </w:r>
    </w:p>
    <w:p w:rsidR="00000000" w:rsidDel="00000000" w:rsidP="00000000" w:rsidRDefault="00000000" w:rsidRPr="00000000" w14:paraId="00000070">
      <w:pPr>
        <w:spacing w:after="120"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[1] W. Ali, M. U. Shafique, M. A. Majeed, and A. Raza, “Comparison between SQL and NoSQL databases and their relationship with big data analytics,”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Asian Journal of Research in Computer Science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vol. 4, no. 2, pp. 1–12, 2019.</w:t>
      </w:r>
    </w:p>
    <w:p w:rsidR="00000000" w:rsidDel="00000000" w:rsidP="00000000" w:rsidRDefault="00000000" w:rsidRPr="00000000" w14:paraId="00000071">
      <w:pPr>
        <w:spacing w:after="120"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[2] MongoDB, “NoSQL vs SQL Databases,” MongoDB Documentation, 2023–2025. [Online]. Available: https://www.mongodb.com/resources/basics/databases/nosql-vs-sql. [Accessed: Feb. 27, 2026].</w:t>
      </w:r>
    </w:p>
    <w:p w:rsidR="00000000" w:rsidDel="00000000" w:rsidP="00000000" w:rsidRDefault="00000000" w:rsidRPr="00000000" w14:paraId="00000072">
      <w:pPr>
        <w:spacing w:after="120"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[3] R. Dolphin, “Comparing relational and non-relational database management systems | SQL vs NoSQL,”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Towards Data Science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2022. [Online]. Available: https://towardsdatascience.com/sql-vs-nosql. [Accessed: Feb. 27, 2026].</w:t>
      </w:r>
    </w:p>
    <w:p w:rsidR="00000000" w:rsidDel="00000000" w:rsidP="00000000" w:rsidRDefault="00000000" w:rsidRPr="00000000" w14:paraId="00000073">
      <w:pPr>
        <w:spacing w:after="120"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[4] P. Sareen and P. Kumar, “NoSQL database and its comparison with SQL database,”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International Journal of Computer Science &amp; Communication Networks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vol. 5, no. 2, pp. 1–4, 2015.</w:t>
      </w:r>
    </w:p>
    <w:p w:rsidR="00000000" w:rsidDel="00000000" w:rsidP="00000000" w:rsidRDefault="00000000" w:rsidRPr="00000000" w14:paraId="00000074">
      <w:pPr>
        <w:spacing w:after="120"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[5] M. Hassan, “Big Data, Big Decisions: Choosing the Right Database,”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arXiv preprint arXiv:2405.02506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2024.</w:t>
      </w:r>
    </w:p>
    <w:p w:rsidR="00000000" w:rsidDel="00000000" w:rsidP="00000000" w:rsidRDefault="00000000" w:rsidRPr="00000000" w14:paraId="00000075">
      <w:pPr>
        <w:spacing w:after="120"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12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36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udex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vi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u7">
    <w:name w:val="heading 7"/>
    <w:basedOn w:val="Binhthng"/>
    <w:next w:val="Binhthng"/>
    <w:link w:val="u7Char"/>
    <w:uiPriority w:val="9"/>
    <w:semiHidden w:val="1"/>
    <w:unhideWhenUsed w:val="1"/>
    <w:qFormat w:val="1"/>
    <w:rsid w:val="000E7F0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u8">
    <w:name w:val="heading 8"/>
    <w:basedOn w:val="Binhthng"/>
    <w:next w:val="Binhthng"/>
    <w:link w:val="u8Char"/>
    <w:uiPriority w:val="9"/>
    <w:semiHidden w:val="1"/>
    <w:unhideWhenUsed w:val="1"/>
    <w:qFormat w:val="1"/>
    <w:rsid w:val="000E7F0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u9">
    <w:name w:val="heading 9"/>
    <w:basedOn w:val="Binhthng"/>
    <w:next w:val="Binhthng"/>
    <w:link w:val="u9Char"/>
    <w:uiPriority w:val="9"/>
    <w:semiHidden w:val="1"/>
    <w:unhideWhenUsed w:val="1"/>
    <w:qFormat w:val="1"/>
    <w:rsid w:val="000E7F0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hngmcinhcuaoanvn" w:default="1">
    <w:name w:val="Default Paragraph Font"/>
    <w:uiPriority w:val="1"/>
    <w:semiHidden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character" w:styleId="u1Char" w:customStyle="1">
    <w:name w:val="Đầu đề 1 Char"/>
    <w:basedOn w:val="Phngmcinhcuaoanvn"/>
    <w:link w:val="u1"/>
    <w:uiPriority w:val="9"/>
    <w:rsid w:val="000E7F0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u2Char" w:customStyle="1">
    <w:name w:val="Đầu đề 2 Char"/>
    <w:basedOn w:val="Phngmcinhcuaoanvn"/>
    <w:link w:val="u2"/>
    <w:uiPriority w:val="9"/>
    <w:semiHidden w:val="1"/>
    <w:rsid w:val="000E7F0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u3Char" w:customStyle="1">
    <w:name w:val="Đầu đề 3 Char"/>
    <w:basedOn w:val="Phngmcinhcuaoanvn"/>
    <w:link w:val="u3"/>
    <w:uiPriority w:val="9"/>
    <w:semiHidden w:val="1"/>
    <w:rsid w:val="000E7F0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u4Char" w:customStyle="1">
    <w:name w:val="Đầu đề 4 Char"/>
    <w:basedOn w:val="Phngmcinhcuaoanvn"/>
    <w:link w:val="u4"/>
    <w:uiPriority w:val="9"/>
    <w:semiHidden w:val="1"/>
    <w:rsid w:val="000E7F0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u5Char" w:customStyle="1">
    <w:name w:val="Đầu đề 5 Char"/>
    <w:basedOn w:val="Phngmcinhcuaoanvn"/>
    <w:link w:val="u5"/>
    <w:uiPriority w:val="9"/>
    <w:semiHidden w:val="1"/>
    <w:rsid w:val="000E7F05"/>
    <w:rPr>
      <w:rFonts w:cstheme="majorBidi" w:eastAsiaTheme="majorEastAsia"/>
      <w:color w:val="0f4761" w:themeColor="accent1" w:themeShade="0000BF"/>
    </w:rPr>
  </w:style>
  <w:style w:type="character" w:styleId="u6Char" w:customStyle="1">
    <w:name w:val="Đầu đề 6 Char"/>
    <w:basedOn w:val="Phngmcinhcuaoanvn"/>
    <w:link w:val="u6"/>
    <w:uiPriority w:val="9"/>
    <w:semiHidden w:val="1"/>
    <w:rsid w:val="000E7F05"/>
    <w:rPr>
      <w:rFonts w:cstheme="majorBidi" w:eastAsiaTheme="majorEastAsia"/>
      <w:i w:val="1"/>
      <w:iCs w:val="1"/>
      <w:color w:val="595959" w:themeColor="text1" w:themeTint="0000A6"/>
    </w:rPr>
  </w:style>
  <w:style w:type="character" w:styleId="u7Char" w:customStyle="1">
    <w:name w:val="Đầu đề 7 Char"/>
    <w:basedOn w:val="Phngmcinhcuaoanvn"/>
    <w:link w:val="u7"/>
    <w:uiPriority w:val="9"/>
    <w:semiHidden w:val="1"/>
    <w:rsid w:val="000E7F05"/>
    <w:rPr>
      <w:rFonts w:cstheme="majorBidi" w:eastAsiaTheme="majorEastAsia"/>
      <w:color w:val="595959" w:themeColor="text1" w:themeTint="0000A6"/>
    </w:rPr>
  </w:style>
  <w:style w:type="character" w:styleId="u8Char" w:customStyle="1">
    <w:name w:val="Đầu đề 8 Char"/>
    <w:basedOn w:val="Phngmcinhcuaoanvn"/>
    <w:link w:val="u8"/>
    <w:uiPriority w:val="9"/>
    <w:semiHidden w:val="1"/>
    <w:rsid w:val="000E7F05"/>
    <w:rPr>
      <w:rFonts w:cstheme="majorBidi" w:eastAsiaTheme="majorEastAsia"/>
      <w:i w:val="1"/>
      <w:iCs w:val="1"/>
      <w:color w:val="272727" w:themeColor="text1" w:themeTint="0000D8"/>
    </w:rPr>
  </w:style>
  <w:style w:type="character" w:styleId="u9Char" w:customStyle="1">
    <w:name w:val="Đầu đề 9 Char"/>
    <w:basedOn w:val="Phngmcinhcuaoanvn"/>
    <w:link w:val="u9"/>
    <w:uiPriority w:val="9"/>
    <w:semiHidden w:val="1"/>
    <w:rsid w:val="000E7F05"/>
    <w:rPr>
      <w:rFonts w:cstheme="majorBidi" w:eastAsiaTheme="majorEastAsia"/>
      <w:color w:val="272727" w:themeColor="text1" w:themeTint="0000D8"/>
    </w:rPr>
  </w:style>
  <w:style w:type="character" w:styleId="TiuChar" w:customStyle="1">
    <w:name w:val="Tiêu đề Char"/>
    <w:basedOn w:val="Phngmcinhcuaoanvn"/>
    <w:link w:val="Tiu"/>
    <w:uiPriority w:val="10"/>
    <w:rsid w:val="000E7F0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uphuChar" w:customStyle="1">
    <w:name w:val="Tiêu đề phụ Char"/>
    <w:basedOn w:val="Phngmcinhcuaoanvn"/>
    <w:link w:val="Tiuphu"/>
    <w:uiPriority w:val="11"/>
    <w:rsid w:val="000E7F0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 w:val="1"/>
    <w:rsid w:val="000E7F0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LitrichdnChar" w:customStyle="1">
    <w:name w:val="Lời trích dẫn Char"/>
    <w:basedOn w:val="Phngmcinhcuaoanvn"/>
    <w:link w:val="Litrichdn"/>
    <w:uiPriority w:val="29"/>
    <w:rsid w:val="000E7F05"/>
    <w:rPr>
      <w:i w:val="1"/>
      <w:iCs w:val="1"/>
      <w:color w:val="404040" w:themeColor="text1" w:themeTint="0000BF"/>
    </w:rPr>
  </w:style>
  <w:style w:type="paragraph" w:styleId="oancuaDanhsach">
    <w:name w:val="List Paragraph"/>
    <w:basedOn w:val="Binhthng"/>
    <w:uiPriority w:val="34"/>
    <w:qFormat w:val="1"/>
    <w:rsid w:val="000E7F05"/>
    <w:pPr>
      <w:ind w:left="720"/>
      <w:contextualSpacing w:val="1"/>
    </w:pPr>
  </w:style>
  <w:style w:type="character" w:styleId="NhnmnhThm">
    <w:name w:val="Intense Emphasis"/>
    <w:basedOn w:val="Phngmcinhcuaoanvn"/>
    <w:uiPriority w:val="21"/>
    <w:qFormat w:val="1"/>
    <w:rsid w:val="000E7F05"/>
    <w:rPr>
      <w:i w:val="1"/>
      <w:iCs w:val="1"/>
      <w:color w:val="0f4761" w:themeColor="accent1" w:themeShade="0000BF"/>
    </w:rPr>
  </w:style>
  <w:style w:type="paragraph" w:styleId="Nhaykepm">
    <w:name w:val="Intense Quote"/>
    <w:basedOn w:val="Binhthng"/>
    <w:next w:val="Binhthng"/>
    <w:link w:val="NhaykepmChar"/>
    <w:uiPriority w:val="30"/>
    <w:qFormat w:val="1"/>
    <w:rsid w:val="000E7F0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NhaykepmChar" w:customStyle="1">
    <w:name w:val="Nháy kép Đậm Char"/>
    <w:basedOn w:val="Phngmcinhcuaoanvn"/>
    <w:link w:val="Nhaykepm"/>
    <w:uiPriority w:val="30"/>
    <w:rsid w:val="000E7F05"/>
    <w:rPr>
      <w:i w:val="1"/>
      <w:iCs w:val="1"/>
      <w:color w:val="0f4761" w:themeColor="accent1" w:themeShade="0000BF"/>
    </w:rPr>
  </w:style>
  <w:style w:type="character" w:styleId="ThamchiuNhnmnh">
    <w:name w:val="Intense Reference"/>
    <w:basedOn w:val="Phngmcinhcuaoanvn"/>
    <w:uiPriority w:val="32"/>
    <w:qFormat w:val="1"/>
    <w:rsid w:val="000E7F05"/>
    <w:rPr>
      <w:b w:val="1"/>
      <w:bCs w:val="1"/>
      <w:smallCaps w:val="1"/>
      <w:color w:val="0f4761" w:themeColor="accent1" w:themeShade="0000BF"/>
      <w:spacing w:val="5"/>
    </w:rPr>
  </w:style>
  <w:style w:type="table" w:styleId="LiBang">
    <w:name w:val="Table Grid"/>
    <w:basedOn w:val="BangThngthng"/>
    <w:uiPriority w:val="39"/>
    <w:rsid w:val="004159B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udex-regular.ttf"/><Relationship Id="rId4" Type="http://schemas.openxmlformats.org/officeDocument/2006/relationships/font" Target="fonts/Caudex-bold.ttf"/><Relationship Id="rId5" Type="http://schemas.openxmlformats.org/officeDocument/2006/relationships/font" Target="fonts/Caudex-italic.ttf"/><Relationship Id="rId6" Type="http://schemas.openxmlformats.org/officeDocument/2006/relationships/font" Target="fonts/Caudex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XNndkvifUQlqI04lfDHR3/oZzA==">CgMxLjAaJAoBMBIfCh0IB0IZCg9UaW1lcyBOZXcgUm9tYW4SBkNhdWRleDIOaC5hYWdmZTdnb204czIyDmgud3FrZmsybWZocDg5Mg5oLmc2M2tqdXVyYWU2NzIOaC5vNWdrNGVpYzcwMGMyDmguYjdpNGwxZWluejczMg5oLmVoOGI0MmdqdWo0ajgAciExb3BfUmNieUotOFZUX0stUjZCbVJkT1Fkb2NqUUhOZnM=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2026-02-27T06:16:00Z</dcterms:created>
  <dc:creator>OR V</dc:creator>
</cp:coreProperties>
</file>