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bookmarkStart w:id="0" w:name="_GoBack"/>
            <w:bookmarkEnd w:id="0"/>
            <w:r>
              <w:rPr>
                <w:rFonts w:eastAsia="Arial Unicode MS"/>
                <w:b/>
                <w:noProof/>
              </w:rPr>
              <mc:AlternateContent>
                <mc:Choice Requires="wps">
                  <w:drawing>
                    <wp:anchor distT="0" distB="0" distL="114300" distR="114300" simplePos="0" relativeHeight="251655168"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92C4A"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7BD9D" id="AutoShape 94" o:spid="_x0000_s1026" type="#_x0000_t32" style="position:absolute;margin-left:60.45pt;margin-top:15.65pt;width:16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1831D5" w:rsidRPr="00504439">
        <w:rPr>
          <w:b/>
          <w:noProof/>
          <w:sz w:val="26"/>
          <w:szCs w:val="26"/>
        </w:rPr>
        <w:t>CÔNG TRÌNH: NÂNG CẤP VÀ PHÁT TRIỂN LƯỚI ĐIỆN TRUNG THẾ NÔNG THÔN PHỤC VỤ SINH HOẠT HUYỆN XUÂN LỘC NĂM 2019-2020</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1831D5" w:rsidRPr="00504439">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1831D5" w:rsidRPr="00504439">
        <w:rPr>
          <w:b/>
          <w:bCs/>
          <w:noProof/>
          <w:sz w:val="28"/>
          <w:szCs w:val="28"/>
        </w:rPr>
        <w:t>ĐIỆN LỰC XUÂN LỘC</w:t>
      </w:r>
      <w:r w:rsidR="00C5435B">
        <w:rPr>
          <w:b/>
          <w:bCs/>
          <w:sz w:val="28"/>
          <w:szCs w:val="28"/>
        </w:rPr>
        <w:fldChar w:fldCharType="end"/>
      </w:r>
    </w:p>
    <w:p w:rsidR="00744D66" w:rsidRPr="00831901" w:rsidRDefault="00744D66" w:rsidP="000C500D">
      <w:pPr>
        <w:pStyle w:val="Heading1"/>
      </w:pPr>
      <w:bookmarkStart w:id="1" w:name="_Toc38546729"/>
      <w:r w:rsidRPr="00831901">
        <w:t>ĐẶC ĐIỂM TÌNH HÌNH:</w:t>
      </w:r>
      <w:bookmarkEnd w:id="1"/>
    </w:p>
    <w:p w:rsidR="00744D66" w:rsidRPr="00831901" w:rsidRDefault="00744D66" w:rsidP="000C500D">
      <w:pPr>
        <w:pStyle w:val="Heading2"/>
      </w:pPr>
      <w:bookmarkStart w:id="2" w:name="_Toc38546730"/>
      <w:r w:rsidRPr="00831901">
        <w:t>Quy mô công trình:</w:t>
      </w:r>
      <w:bookmarkEnd w:id="2"/>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3" w:name="_Toc38546731"/>
      <w:r w:rsidRPr="00831901">
        <w:t>Quy mô và các đặc điểm khác:</w:t>
      </w:r>
      <w:bookmarkEnd w:id="3"/>
    </w:p>
    <w:p w:rsidR="004B6CE3" w:rsidRDefault="004B6CE3" w:rsidP="004B6CE3">
      <w:pPr>
        <w:pStyle w:val="Heading3"/>
      </w:pPr>
      <w:r>
        <w:t xml:space="preserve">Phần đường dây trung thế </w:t>
      </w:r>
    </w:p>
    <w:p w:rsidR="004B6CE3" w:rsidRDefault="004B6CE3" w:rsidP="004B6CE3">
      <w:pPr>
        <w:pStyle w:val="Heading4"/>
      </w:pPr>
      <w:r>
        <w:t>Phần đường dây trung thế 3P xây dựng mới: 2.305,5m</w:t>
      </w:r>
    </w:p>
    <w:p w:rsidR="004B6CE3" w:rsidRDefault="004B6CE3" w:rsidP="004B6CE3">
      <w:pPr>
        <w:pStyle w:val="Heading7"/>
      </w:pPr>
      <w:r>
        <w:t>- Tuyến đường dây trung thế 3 pha cáp 3ACX50mm2+AC50mm2 cấp điện TBA Xuân Hưng 2B (tách lưới TBA Xuân Hưng 2) dài: 441m;</w:t>
      </w:r>
    </w:p>
    <w:p w:rsidR="004B6CE3" w:rsidRDefault="004B6CE3" w:rsidP="004B6CE3">
      <w:pPr>
        <w:pStyle w:val="Heading7"/>
      </w:pPr>
      <w:r>
        <w:t>- Tuyến đường dây trung thế 3 pha cáp 3ACX50mm2+AC50mm2 cấp điện TBA Suối Lớn B (tách lưới TBA Suối LớnA) dài: 500m;</w:t>
      </w:r>
    </w:p>
    <w:p w:rsidR="004B6CE3" w:rsidRDefault="004B6CE3" w:rsidP="004B6CE3">
      <w:pPr>
        <w:pStyle w:val="Heading7"/>
      </w:pPr>
      <w:r>
        <w:t>- Tuyến đường dây trung thế 3 pha cáp 3ACX50mm2+AC50mm2 cấp điện TBA Xuân Tâm 4F (tách lưới TBA Xuân Tâm 4) dài: 150m;</w:t>
      </w:r>
    </w:p>
    <w:p w:rsidR="004B6CE3" w:rsidRDefault="004B6CE3" w:rsidP="004B6CE3">
      <w:pPr>
        <w:pStyle w:val="Heading7"/>
      </w:pPr>
      <w:r>
        <w:t>- Tuyến đường dây trung thế 3 pha cáp 3ACX50mm2+AC50mm2 cấp điện TBA Xuân Tâm 4G (tách lưới TBA Xuân Tâm 4) dài: 201,7m;</w:t>
      </w:r>
    </w:p>
    <w:p w:rsidR="004B6CE3" w:rsidRDefault="004B6CE3" w:rsidP="004B6CE3">
      <w:pPr>
        <w:pStyle w:val="Heading7"/>
      </w:pPr>
      <w:r>
        <w:t>- Tuyến đường dây trung thế 3 pha cáp 3ACX50mm2+AC50mm2 cấp điện TBA Xuân Tâm 4D (tách lưới TBA Xuân Tâm 4B) dài: 177,2m;</w:t>
      </w:r>
    </w:p>
    <w:p w:rsidR="004B6CE3" w:rsidRDefault="004B6CE3" w:rsidP="004B6CE3">
      <w:pPr>
        <w:pStyle w:val="Heading7"/>
      </w:pPr>
      <w:r>
        <w:t>- Tuyến đường dây trung thế 3 pha cáp 3ACX50mm2+AC50mm2 cấp điện TBA Xuân Tâm 4E (tách lưới TBA Xuân Tâm 4B) dài: 231,5m;</w:t>
      </w:r>
    </w:p>
    <w:p w:rsidR="004B6CE3" w:rsidRDefault="004B6CE3" w:rsidP="004B6CE3">
      <w:pPr>
        <w:pStyle w:val="Heading7"/>
      </w:pPr>
      <w:r>
        <w:t>- Tuyến đường dây trung thế 3 pha cáp 3ACX50mm2+AC50mm2 cấp điện TBA Xuân Tâm 5D (tách lưới TBA Xuân Tâm 5A) dài: 38,3m;</w:t>
      </w:r>
    </w:p>
    <w:p w:rsidR="004B6CE3" w:rsidRDefault="004B6CE3" w:rsidP="004B6CE3">
      <w:pPr>
        <w:pStyle w:val="Heading7"/>
      </w:pPr>
      <w:r>
        <w:t>- Tuyến đường dây trung thế 3 pha cáp 3ACX50mm2+AC50mm2 cấp điện TBA Xuân Tâm 5E (tách lưới TBA Xuân Tâm 5) dài: 280m;</w:t>
      </w:r>
    </w:p>
    <w:p w:rsidR="004B6CE3" w:rsidRDefault="004B6CE3" w:rsidP="004B6CE3">
      <w:pPr>
        <w:pStyle w:val="Heading7"/>
      </w:pPr>
      <w:r>
        <w:t>- Tuyến đường dây trung thế 3 pha cáp 3ACX50mm2+AC50mm2 cấp điện TBA Xuân Tâm 6B (tách lưới TBA Xuân Tâm 6A) dài: 38,4m;</w:t>
      </w:r>
    </w:p>
    <w:p w:rsidR="004B6CE3" w:rsidRDefault="004B6CE3" w:rsidP="004B6CE3">
      <w:pPr>
        <w:pStyle w:val="Heading7"/>
      </w:pPr>
      <w:r>
        <w:lastRenderedPageBreak/>
        <w:t>- Tuyến đường dây trung thế 3 pha cáp 3ACX50mm2+AC50mm2 cấp điện TBA Xuân Tâm 6C (tách lưới TBA Xuân Tâm 6) dài: 209 m;</w:t>
      </w:r>
    </w:p>
    <w:p w:rsidR="004B6CE3" w:rsidRDefault="004B6CE3" w:rsidP="004B6CE3">
      <w:pPr>
        <w:pStyle w:val="Heading7"/>
      </w:pPr>
      <w:r>
        <w:t>- Tuyến đường dây trung thế 3 pha cáp 3ACX50mm2+AC50mm2 cấp điện TBA Xuân Tâm 7B (tách lưới TBA Xuân Tâm 7) dài: 38,4m;</w:t>
      </w:r>
    </w:p>
    <w:p w:rsidR="004B6CE3" w:rsidRDefault="004B6CE3" w:rsidP="004B6CE3">
      <w:pPr>
        <w:pStyle w:val="Heading4"/>
      </w:pPr>
      <w:r>
        <w:t>Phần đường dây trung thế nâng cấp từ 1 pha lên 3P: dài 1.758m</w:t>
      </w:r>
    </w:p>
    <w:p w:rsidR="004B6CE3" w:rsidRDefault="004B6CE3" w:rsidP="004B6CE3">
      <w:pPr>
        <w:pStyle w:val="Heading7"/>
      </w:pPr>
      <w:r>
        <w:t>- Nâng cấp đường dây trung thế từ 1 pha lên 3 pha nhánh Cọ Dầu 1, Cọ Dầu 1A  từ cáp AC70+AC50mm2 lên thành 3ACX70mm2+AC50mm2 dài: 223m (sử dụng lại dây trung hòa hiện hữu)  và từ cáp ACX50+AC50mm2 lên thành 3ACX50mm2+AC50mm2 dài: 534 mm (sử dụng lại 1 dây pha và dây trung hòa).</w:t>
      </w:r>
    </w:p>
    <w:p w:rsidR="004B6CE3" w:rsidRDefault="004B6CE3" w:rsidP="004B6CE3">
      <w:pPr>
        <w:pStyle w:val="Heading7"/>
      </w:pPr>
      <w:r>
        <w:t>- Nâng cấp đường dây trung thế từ 1 pha lên 3 pha nhánh Cọ Dầu 2 từ cáp AC70+AC50mm2 lên thành 3ACX70mm2+AC50mm2 dài: 479,2m (sử dụng lại dây trung hòa hiện hữu)</w:t>
      </w:r>
    </w:p>
    <w:p w:rsidR="004B6CE3" w:rsidRDefault="004B6CE3" w:rsidP="004B6CE3">
      <w:pPr>
        <w:pStyle w:val="Heading7"/>
      </w:pPr>
      <w:r>
        <w:t>- Nâng cấp đường dây trung thế từ 1 pha lên 3 pha nhánh Cọ Dầu 3A từ cáp ACX50+AC50mm2 lên thành 3ACX50mm2+AC50mm2 dài: 525mm (sử dụng lại 1 dây pha và dây trung hòa)</w:t>
      </w:r>
    </w:p>
    <w:p w:rsidR="004B6CE3" w:rsidRDefault="004B6CE3" w:rsidP="004B6CE3">
      <w:pPr>
        <w:pStyle w:val="Heading3"/>
      </w:pPr>
      <w:r>
        <w:t>Phần đường dây hạ thế:</w:t>
      </w:r>
    </w:p>
    <w:p w:rsidR="004B6CE3" w:rsidRDefault="004B6CE3" w:rsidP="004B6CE3">
      <w:pPr>
        <w:pStyle w:val="Heading4"/>
      </w:pPr>
      <w:r>
        <w:t>Phần đường dây hạ thế xây dựng mới: 1.900,2m</w:t>
      </w:r>
    </w:p>
    <w:p w:rsidR="004B6CE3" w:rsidRDefault="004B6CE3" w:rsidP="004B6CE3">
      <w:pPr>
        <w:pStyle w:val="Heading7"/>
      </w:pPr>
      <w:r>
        <w:t>- Xây dựng mới đường dây hạ thế 1 pha sau TBA Xuân Hòa 7A cáp ABC 3x95mm2 dài 341,9m.</w:t>
      </w:r>
    </w:p>
    <w:p w:rsidR="004B6CE3" w:rsidRDefault="004B6CE3" w:rsidP="004B6CE3">
      <w:pPr>
        <w:pStyle w:val="Heading7"/>
      </w:pPr>
      <w:r>
        <w:t>- Xây dựng mới đường dây hạ thế 3 pha sau TBA Cọ dầu 1A, cáp ABC 4x95mm2 dài 440m.</w:t>
      </w:r>
    </w:p>
    <w:p w:rsidR="004B6CE3" w:rsidRDefault="004B6CE3" w:rsidP="004B6CE3">
      <w:pPr>
        <w:pStyle w:val="Heading7"/>
      </w:pPr>
      <w:r>
        <w:t>- Xây dựng mới đường dây hạ thế 3 pha sau TBA Cọ dầu 1, cáp ABC 4x95mm2 dài 191m</w:t>
      </w:r>
    </w:p>
    <w:p w:rsidR="004B6CE3" w:rsidRDefault="004B6CE3" w:rsidP="004B6CE3">
      <w:pPr>
        <w:pStyle w:val="Heading7"/>
      </w:pPr>
      <w:r>
        <w:t>- Xây dựng mới đường dây hạ thế 3 pha sau TBA Cọ dầu 2A cáp ABC 4x95mm2 dài 140m.</w:t>
      </w:r>
    </w:p>
    <w:p w:rsidR="004B6CE3" w:rsidRDefault="004B6CE3" w:rsidP="004B6CE3">
      <w:pPr>
        <w:pStyle w:val="Heading7"/>
      </w:pPr>
      <w:r>
        <w:t>- Xây dựng mới đường dây hạ thế 3 pha sau TBA Cọ dầu 2 cáp ABC 4x95mm2 dài 317m.</w:t>
      </w:r>
    </w:p>
    <w:p w:rsidR="004B6CE3" w:rsidRDefault="004B6CE3" w:rsidP="004B6CE3">
      <w:pPr>
        <w:pStyle w:val="Heading7"/>
      </w:pPr>
      <w:r>
        <w:t>- Xây dựng mới đường dây hạ thế 3 pha sau TBA Xuân Tâm 4F cáp ABC 4x95mm2 dài 180m (sử dụng trụ hiện hữu) để đấu nối với nhánh rẽ hạ thế bên hông giáo xứ Hiệp Lực tách lưới cho TBA Xuân Tâm 4.</w:t>
      </w:r>
    </w:p>
    <w:p w:rsidR="004B6CE3" w:rsidRDefault="004B6CE3" w:rsidP="004B6CE3">
      <w:pPr>
        <w:pStyle w:val="Heading7"/>
      </w:pPr>
      <w:r>
        <w:t>- Xây dựng mới đường dây hạ thế 3 pha sau TBA Xuân Tâm 6A cáp ABC 4x95mm2 dài 290,3m để chống lệch pha, giảm TTĐN. Thu hồi đường dây hạ thế 1 pha 2AV70+A50 sử dụng trụ vuông hoàn trả cho cho khách hàng.</w:t>
      </w:r>
    </w:p>
    <w:p w:rsidR="004B6CE3" w:rsidRDefault="004B6CE3" w:rsidP="004B6CE3">
      <w:pPr>
        <w:pStyle w:val="Heading4"/>
      </w:pPr>
      <w:r>
        <w:t>Phần đường dây hạ thế nâng cấp:7.655,4m</w:t>
      </w:r>
    </w:p>
    <w:p w:rsidR="004B6CE3" w:rsidRDefault="004B6CE3" w:rsidP="004B6CE3">
      <w:pPr>
        <w:pStyle w:val="Heading7"/>
      </w:pPr>
      <w:r>
        <w:t>- Nâng cấp dây dẫn hạ thế hiện hữu sau TBA Cọ Dầu 1 từ 1P cáp ABC3x120mm2 thành cáp 3P cáp ABC 3x120mm2 hiện hữu + A95 dài 997,5m, từ 1P cáp ABC3x95mm2 thành cáp 3P cáp ABC 3x95mm2 hiện hữu + A70 dài 364m,  từ 1P cáp ABC3x70mm2 thành cáp 3P cáp ABC 3x70mm2 hiện hữu + A50 dài 555,5m và từ 1P cáp ABC3x50mm2 thành cáp 3P cáp ABC 3x50mm2 hiện hữu + A50 dài 530m.</w:t>
      </w:r>
    </w:p>
    <w:p w:rsidR="004B6CE3" w:rsidRDefault="004B6CE3" w:rsidP="004B6CE3">
      <w:pPr>
        <w:pStyle w:val="Heading7"/>
      </w:pPr>
      <w:r>
        <w:lastRenderedPageBreak/>
        <w:t>- Nâng cấp dây dẫn hạ thế hiện hữu sau TBA Cọ Dầu 1A từ 1P cáp ABC3x120mm2 thành cáp 3P cáp ABC 3x120mm2 hiện hữu + A95 dài 264,1m, từ 1P cáp ABC3x50mm2 thành cáp 3P cáp ABC 3x50mm2 hiện hữu + A50 dài 180,3m.</w:t>
      </w:r>
    </w:p>
    <w:p w:rsidR="004B6CE3" w:rsidRDefault="004B6CE3" w:rsidP="004B6CE3">
      <w:pPr>
        <w:pStyle w:val="Heading7"/>
      </w:pPr>
      <w:r>
        <w:t>- Nâng cấp dây dẫn hạ thế hiện hữu sau TBA Cọ Dầu 2 từ 1P cáp 2AV95+A70 mm2 thành ABC4x120mm2 dài 705,5m và từ cáp ABC3x70mm2 thành cáp 3P cáp ABC 4x120mm2 dài 277,8m</w:t>
      </w:r>
    </w:p>
    <w:p w:rsidR="004B6CE3" w:rsidRDefault="004B6CE3" w:rsidP="004B6CE3">
      <w:pPr>
        <w:pStyle w:val="Heading7"/>
      </w:pPr>
      <w:r>
        <w:t>- Nâng cấp dây dẫn hạ thế hiện hữu sau TBA Cọ Dầu 2A từ 1P cáp 2AV95+A70 mm2 thành ABC4x120mm2 dài 492,7m.</w:t>
      </w:r>
    </w:p>
    <w:p w:rsidR="004B6CE3" w:rsidRDefault="004B6CE3" w:rsidP="004B6CE3">
      <w:pPr>
        <w:pStyle w:val="Heading7"/>
      </w:pPr>
      <w:r>
        <w:t>- Nâng cấp dây dẫn hạ thế hiện hữu sau TBA Cọ Dầu 3 từ 1P cápABC3x50mm2 thành cáp 3P cáp ABC 3x50mm2 +A50 dài 1.033 m.</w:t>
      </w:r>
    </w:p>
    <w:p w:rsidR="004B6CE3" w:rsidRDefault="004B6CE3" w:rsidP="004B6CE3">
      <w:pPr>
        <w:pStyle w:val="Heading7"/>
      </w:pPr>
      <w:r>
        <w:t>- Nâng cấp dây dẫn hạ thế hiện hữu sau TBA Cọ Dầu 3A từ 1P cáp ABC3x50mm2 thành cáp 3P cáp ABC 3x50mm2 +A50 dài 412,5 m.</w:t>
      </w:r>
    </w:p>
    <w:p w:rsidR="004B6CE3" w:rsidRDefault="004B6CE3" w:rsidP="004B6CE3">
      <w:pPr>
        <w:pStyle w:val="Heading7"/>
      </w:pPr>
      <w:r>
        <w:t>- Nâng cấp dây dẫn hạ thế hiện hữu sau TBA Tà Lú 1 từ 1P cáp 2AV95+A70mm2 thành 3P cáp ABC 4x120mm2  dài 432,7 mét;   từ 1P cáp 2AV95+A70mm2 thành 3P cáp ABC 4x95mm2 dài 792,8 mét; từ 1P cáp 2AV50+A50mm2 thành 3P cáp ABC 4x95mm2 dài 336,6 mét, từ 1P cáp ABC 3x50 mm2 thành 3P cáp ABC 4x95mm2 dài 175,8m và từ 1P cáp ABC 3x70 mm2 thành 3P cáp ABC 4x95mm2 dài 204,7m.</w:t>
      </w:r>
    </w:p>
    <w:p w:rsidR="004B6CE3" w:rsidRDefault="004B6CE3" w:rsidP="004B6CE3">
      <w:pPr>
        <w:pStyle w:val="Heading3"/>
      </w:pPr>
      <w:r>
        <w:t>Phần Trạm biến áp:</w:t>
      </w:r>
    </w:p>
    <w:p w:rsidR="004B6CE3" w:rsidRDefault="004B6CE3" w:rsidP="004B6CE3">
      <w:pPr>
        <w:pStyle w:val="Heading4"/>
      </w:pPr>
      <w:r>
        <w:t>Phần Trạm biến áp xây dựng mới: 15 trạm cụ thể như sau:</w:t>
      </w:r>
    </w:p>
    <w:p w:rsidR="004B6CE3" w:rsidRDefault="004B6CE3" w:rsidP="004B6CE3">
      <w:pPr>
        <w:pStyle w:val="Heading7"/>
      </w:pPr>
      <w:r>
        <w:t xml:space="preserve">- TBA 1 pha 100kVA: 02 trạm (Ấp 4 Xuân Hưng B, Ấp 4 Xuân Hưng C). </w:t>
      </w:r>
    </w:p>
    <w:p w:rsidR="004B6CE3" w:rsidRDefault="004B6CE3" w:rsidP="004B6CE3">
      <w:pPr>
        <w:pStyle w:val="Heading7"/>
      </w:pPr>
      <w:r>
        <w:t xml:space="preserve">- TBA 3 pha 250kVA: 10 trạm (Xuân Hưng 2B, Suối Lớn </w:t>
      </w:r>
      <w:proofErr w:type="gramStart"/>
      <w:r>
        <w:t>B,  Xuân</w:t>
      </w:r>
      <w:proofErr w:type="gramEnd"/>
      <w:r>
        <w:t xml:space="preserve"> Tâm 4D, Xuân Tâm 4E, Xuân Tâm 4F, Xuân Tâm 4G, Xuân Tâm 5D, Xuân Tâm 6B, Xuân Tâm 6C, Xuân Tâm 7B).</w:t>
      </w:r>
    </w:p>
    <w:p w:rsidR="004B6CE3" w:rsidRDefault="004B6CE3" w:rsidP="004B6CE3">
      <w:pPr>
        <w:pStyle w:val="Heading7"/>
      </w:pPr>
      <w:r>
        <w:t>- TBA 3 pha 3x50kVA: 03 trạm (Xuân Tâm 2B</w:t>
      </w:r>
      <w:proofErr w:type="gramStart"/>
      <w:r>
        <w:t>, ,</w:t>
      </w:r>
      <w:proofErr w:type="gramEnd"/>
      <w:r>
        <w:t xml:space="preserve"> Xuân Tâm 5E, Cọ Dầu 1B).</w:t>
      </w:r>
    </w:p>
    <w:p w:rsidR="004B6CE3" w:rsidRDefault="004B6CE3" w:rsidP="004B6CE3">
      <w:pPr>
        <w:pStyle w:val="Heading4"/>
      </w:pPr>
      <w:r>
        <w:t>Phần Trạm biến áp nâng cấp: 07 Trạm</w:t>
      </w:r>
    </w:p>
    <w:p w:rsidR="004B6CE3" w:rsidRPr="004B6CE3" w:rsidRDefault="004B6CE3" w:rsidP="004B6CE3">
      <w:pPr>
        <w:pStyle w:val="Heading7"/>
      </w:pPr>
      <w:r w:rsidRPr="004B6CE3">
        <w:t>- Nâng cấp TBA từ 1 pha 100kVA lên 3P- 250kVA: 04 Trạm (Cọ Dầu 1A, Cọ Dầu 2, Cọ Dầu 2A, Cọ Dầu 3A).</w:t>
      </w:r>
    </w:p>
    <w:p w:rsidR="004B6CE3" w:rsidRPr="004B6CE3" w:rsidRDefault="004B6CE3" w:rsidP="004B6CE3">
      <w:pPr>
        <w:pStyle w:val="Heading7"/>
      </w:pPr>
      <w:r w:rsidRPr="004B6CE3">
        <w:t>- Nâng cấp TBA từ 1 pha 2x100kVA lên 3P - 250kVA: 02 Trạm (Cọ Dầu 1, Tà Lú 1)</w:t>
      </w:r>
    </w:p>
    <w:p w:rsidR="004B6CE3" w:rsidRPr="004B6CE3" w:rsidRDefault="004B6CE3" w:rsidP="004B6CE3">
      <w:pPr>
        <w:pStyle w:val="Heading7"/>
      </w:pPr>
      <w:r w:rsidRPr="004B6CE3">
        <w:t>- Nâng cấp TBA từ 1 pha 2x100kVA lên 3P - 320kVA: 01 Trạm (Cọ Dầu 3).</w:t>
      </w:r>
    </w:p>
    <w:p w:rsidR="00744D66" w:rsidRDefault="00744D66" w:rsidP="000C500D">
      <w:pPr>
        <w:pStyle w:val="Heading1"/>
      </w:pPr>
      <w:bookmarkStart w:id="4" w:name="_Toc38546737"/>
      <w:r w:rsidRPr="00B5690B">
        <w:t>TIẾN ĐỘ THI CÔNG.</w:t>
      </w:r>
      <w:bookmarkEnd w:id="4"/>
    </w:p>
    <w:p w:rsidR="00745D1C" w:rsidRDefault="00745D1C" w:rsidP="000C500D">
      <w:pPr>
        <w:pStyle w:val="Heading2"/>
        <w:numPr>
          <w:ilvl w:val="0"/>
          <w:numId w:val="25"/>
        </w:numPr>
      </w:pPr>
      <w:bookmarkStart w:id="5" w:name="_Toc38546776"/>
      <w:r w:rsidRPr="005F00F2">
        <w:t>Tiến độ thi công</w:t>
      </w:r>
      <w:r>
        <w:t>:</w:t>
      </w:r>
      <w:bookmarkEnd w:id="5"/>
    </w:p>
    <w:p w:rsidR="00745D1C" w:rsidRDefault="00745D1C" w:rsidP="00745D1C">
      <w:pPr>
        <w:pStyle w:val="Parag"/>
      </w:pPr>
      <w:r w:rsidRPr="00831901">
        <w:t xml:space="preserve">Đơn vị thi công sẽ thi công hoàn thành công trình trong vòng </w:t>
      </w:r>
      <w:r w:rsidR="00AE5104">
        <w:rPr>
          <w:b/>
          <w:bCs/>
        </w:rPr>
        <w:fldChar w:fldCharType="begin"/>
      </w:r>
      <w:r w:rsidR="00AE5104">
        <w:rPr>
          <w:b/>
          <w:bCs/>
        </w:rPr>
        <w:instrText xml:space="preserve"> MERGEFIELD TienDo </w:instrText>
      </w:r>
      <w:r w:rsidR="00AE5104">
        <w:rPr>
          <w:b/>
          <w:bCs/>
        </w:rPr>
        <w:fldChar w:fldCharType="separate"/>
      </w:r>
      <w:r w:rsidR="001831D5" w:rsidRPr="00504439">
        <w:rPr>
          <w:b/>
          <w:bCs/>
          <w:noProof/>
        </w:rPr>
        <w:t>60</w:t>
      </w:r>
      <w:r w:rsidR="00AE5104">
        <w:rPr>
          <w:b/>
          <w:bCs/>
        </w:rPr>
        <w:fldChar w:fldCharType="end"/>
      </w:r>
      <w:r w:rsidR="00AE5104">
        <w:rPr>
          <w:b/>
          <w:bCs/>
        </w:rPr>
        <w:t xml:space="preserve"> </w:t>
      </w:r>
      <w:r w:rsidRPr="00831901">
        <w:t>ngày</w:t>
      </w:r>
      <w:r>
        <w:t xml:space="preserve"> theo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 60 ngày</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DB5D37">
              <w:rPr>
                <w:b/>
                <w:bCs/>
                <w:color w:val="000000"/>
              </w:rPr>
              <w:fldChar w:fldCharType="begin"/>
            </w:r>
            <w:r w:rsidR="00DB5D37">
              <w:rPr>
                <w:b/>
                <w:bCs/>
                <w:color w:val="000000"/>
              </w:rPr>
              <w:instrText xml:space="preserve"> MERGEFIELD TienDo </w:instrText>
            </w:r>
            <w:r w:rsidR="00DB5D37">
              <w:rPr>
                <w:b/>
                <w:bCs/>
                <w:color w:val="000000"/>
              </w:rPr>
              <w:fldChar w:fldCharType="separate"/>
            </w:r>
            <w:r w:rsidR="001831D5" w:rsidRPr="00504439">
              <w:rPr>
                <w:b/>
                <w:bCs/>
                <w:noProof/>
                <w:color w:val="000000"/>
              </w:rPr>
              <w:t>60</w:t>
            </w:r>
            <w:r w:rsidR="00DB5D37">
              <w:rPr>
                <w:b/>
                <w:bCs/>
                <w:color w:val="000000"/>
              </w:rPr>
              <w:fldChar w:fldCharType="end"/>
            </w:r>
            <w:r w:rsidR="00DB5D37">
              <w:rPr>
                <w:b/>
                <w:bCs/>
                <w:color w:val="000000"/>
              </w:rPr>
              <w:t xml:space="preserve"> </w:t>
            </w:r>
            <w:r>
              <w:rPr>
                <w:b/>
                <w:bCs/>
                <w:color w:val="000000"/>
              </w:rPr>
              <w:t>ngày</w:t>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41856"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0AF46" id="AutoShape 115" o:spid="_x0000_s1026" type="#_x0000_t32" style="position:absolute;margin-left:-5.55pt;margin-top:9.9pt;width:14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7257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B6F42" id="AutoShape 121" o:spid="_x0000_s1026" type="#_x0000_t32" style="position:absolute;margin-left:7.8pt;margin-top:15.95pt;width:79.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4800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F5AD9" id="AutoShape 116" o:spid="_x0000_s1026" type="#_x0000_t32" style="position:absolute;margin-left:26.4pt;margin-top:16.65pt;width:22.2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54144"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561E6" id="AutoShape 117" o:spid="_x0000_s1026" type="#_x0000_t32" style="position:absolute;margin-left:1.55pt;margin-top:9.2pt;width:35.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06A99" id="AutoShape 119" o:spid="_x0000_s1026" type="#_x0000_t32" style="position:absolute;margin-left:-15.4pt;margin-top:14.5pt;width:33.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7872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AAAC6" id="AutoShape 121" o:spid="_x0000_s1026" type="#_x0000_t32" style="position:absolute;margin-left:-35.3pt;margin-top:5.65pt;width:79.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2844A" id="AutoShape 120" o:spid="_x0000_s1026" type="#_x0000_t32" style="position:absolute;margin-left:44.15pt;margin-top:16.2pt;width:15.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6" w:name="_Toc38546777"/>
      <w:r w:rsidRPr="00052B87">
        <w:t>Thời gian cắt điện thi công:</w:t>
      </w:r>
      <w:bookmarkEnd w:id="6"/>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fldSimple w:instr=" MERGEFIELD SoLanCatDien ">
        <w:r w:rsidR="001831D5" w:rsidRPr="00504439">
          <w:rPr>
            <w:noProof/>
          </w:rPr>
          <w:t>5</w:t>
        </w:r>
      </w:fldSimple>
      <w:r w:rsidR="00AE5104">
        <w:t xml:space="preserve"> </w:t>
      </w:r>
      <w:r>
        <w:t>lần.</w:t>
      </w:r>
    </w:p>
    <w:p w:rsidR="00745D1C" w:rsidRDefault="00745D1C" w:rsidP="00745D1C">
      <w:pPr>
        <w:pStyle w:val="Parag"/>
      </w:pPr>
      <w:r>
        <w:lastRenderedPageBreak/>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r w:rsidRPr="0094355F">
        <w:t>Sơ đồ tổ chức thi công:</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r w:rsidRPr="00E52BDF">
        <w:t>Sơ đồ tổ chức hiện trường:</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r w:rsidRPr="009F426C">
        <w:t>Thuyết minh sơ đồ tổ chức hiện trường:</w:t>
      </w:r>
      <w:bookmarkEnd w:id="12"/>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3" w:name="_Toc38546744"/>
      <w:r w:rsidRPr="00181258">
        <w:t>Trách nhiệm của nhà thầu thi công xây dựng công trình:</w:t>
      </w:r>
      <w:bookmarkEnd w:id="13"/>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lastRenderedPageBreak/>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4" w:name="_Toc38546745"/>
      <w:r w:rsidRPr="00181258">
        <w:t>Trách nhiệm và thẩm q</w:t>
      </w:r>
      <w:r w:rsidR="00AD18BC" w:rsidRPr="00181258">
        <w:t xml:space="preserve">uyền </w:t>
      </w:r>
      <w:r w:rsidRPr="00181258">
        <w:t>của chỉ huy trưởng:</w:t>
      </w:r>
      <w:bookmarkEnd w:id="14"/>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5"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5"/>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6" w:name="_Toc38546747"/>
      <w:r w:rsidRPr="003618C0">
        <w:t>Trách nhiệm và thẩm q</w:t>
      </w:r>
      <w:r w:rsidR="002A1461" w:rsidRPr="003618C0">
        <w:t>uyền</w:t>
      </w:r>
      <w:r w:rsidRPr="003618C0">
        <w:t xml:space="preserve"> của các đội trưởng:</w:t>
      </w:r>
      <w:bookmarkEnd w:id="16"/>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w:t>
      </w:r>
      <w:proofErr w:type="gramStart"/>
      <w:r w:rsidR="00775275" w:rsidRPr="00831901">
        <w:t>an</w:t>
      </w:r>
      <w:proofErr w:type="gramEnd"/>
      <w:r w:rsidR="00775275" w:rsidRPr="00831901">
        <w:t xml:space="preserve"> toàn lao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7" w:name="_Toc38546748"/>
      <w:r w:rsidRPr="0036580D">
        <w:t>Trách nhiệm của người lao động trên công trường xây dựng</w:t>
      </w:r>
      <w:r>
        <w:t>:</w:t>
      </w:r>
      <w:bookmarkEnd w:id="17"/>
    </w:p>
    <w:p w:rsidR="0036580D" w:rsidRDefault="0036580D" w:rsidP="0036580D">
      <w:pPr>
        <w:pStyle w:val="Parag"/>
      </w:pPr>
      <w:r>
        <w:t xml:space="preserve">+ Thực hiện các quy định tại Điều 17 Luật </w:t>
      </w:r>
      <w:proofErr w:type="gramStart"/>
      <w:r>
        <w:t>An</w:t>
      </w:r>
      <w:proofErr w:type="gramEnd"/>
      <w:r>
        <w:t xml:space="preserve">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xml:space="preserve">- Tất cả công nhân, cán bộ làm việc tại công trường đều phải sử dụng trang thiết bị bảo hộ lao động như: Găng tay, mũ, </w:t>
      </w:r>
      <w:proofErr w:type="gramStart"/>
      <w:r w:rsidRPr="00831901">
        <w:t>giày,…</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xml:space="preserve">- Khi kéo dây, rải cáp đảm bảo đúng kỹ thuật và có các hình thức cảnh báo, biển </w:t>
      </w:r>
      <w:proofErr w:type="gramStart"/>
      <w:r w:rsidRPr="00831901">
        <w:t>báo,…</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lastRenderedPageBreak/>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r w:rsidRPr="00831901">
        <w:t>Yêu cầu chung:</w:t>
      </w:r>
      <w:bookmarkEnd w:id="22"/>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t>Chuẩn bị mặt bằng, xác định tim,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4B6CE3">
      <w:pPr>
        <w:pStyle w:val="Heading3"/>
      </w:pPr>
      <w:bookmarkStart w:id="25" w:name="_Toc38546756"/>
      <w:r w:rsidRPr="002A63C6">
        <w:t>Công tác đào đắp đất:</w:t>
      </w:r>
      <w:bookmarkEnd w:id="25"/>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lastRenderedPageBreak/>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lastRenderedPageBreak/>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lastRenderedPageBreak/>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7" w:name="_Toc38546758"/>
      <w:r>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lastRenderedPageBreak/>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30" w:name="_Toc38546761"/>
      <w:r>
        <w:t>Thi công lấp mương cáp:</w:t>
      </w:r>
      <w:bookmarkEnd w:id="30"/>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31" w:name="_Toc38546762"/>
      <w:r>
        <w:t>Hố ga kéo cáp ngầm:</w:t>
      </w:r>
      <w:bookmarkEnd w:id="31"/>
    </w:p>
    <w:p w:rsidR="00CC76D7" w:rsidRDefault="00CC76D7" w:rsidP="00CC76D7">
      <w:pPr>
        <w:pStyle w:val="Parag"/>
      </w:pPr>
      <w:r>
        <w:t xml:space="preserve">Để thuận tiện cho công tác thi công kéo mới thêm một sợi cáp ngầm sau này, tại đầu các đoạn băng đường và taị các vị trí góc &gt;150 ta đặt một hố ga kéo cáp 1400x1400x1400mm có nắp </w:t>
      </w:r>
      <w:proofErr w:type="gramStart"/>
      <w:r>
        <w:t>bêtông,  luồng</w:t>
      </w:r>
      <w:proofErr w:type="gramEnd"/>
      <w:r>
        <w:t xml:space="preserve">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4B6CE3">
      <w:pPr>
        <w:pStyle w:val="Heading3"/>
      </w:pPr>
      <w:bookmarkStart w:id="34" w:name="_Toc38546765"/>
      <w:r w:rsidRPr="00EF0672">
        <w:t>Công tác rải căng dây:</w:t>
      </w:r>
      <w:bookmarkEnd w:id="34"/>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4B6CE3">
      <w:pPr>
        <w:pStyle w:val="Heading3"/>
      </w:pPr>
      <w:bookmarkStart w:id="35" w:name="_Toc38546766"/>
      <w:r w:rsidRPr="00F1197E">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6" w:name="_Toc38546767"/>
      <w:r w:rsidRPr="008B1ED6">
        <w:t>Giải pháp thi công lắp đặt thiết bị và trạm biến áp</w:t>
      </w:r>
      <w:r>
        <w:t>:</w:t>
      </w:r>
      <w:bookmarkEnd w:id="36"/>
    </w:p>
    <w:p w:rsidR="00BD668F" w:rsidRDefault="00BD668F"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lastRenderedPageBreak/>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37" w:name="_Toc38546768"/>
      <w:r w:rsidRPr="00831901">
        <w:t>Công tác đấu nối hoàn thiện</w:t>
      </w:r>
      <w:r w:rsidR="00EF14BA">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5" w:name="_Toc38546778"/>
      <w:r w:rsidRPr="007F2FD0">
        <w:t>BIỆN PHÁP PHÒNG CHỐNG CHÁY, NỔ:</w:t>
      </w:r>
      <w:bookmarkEnd w:id="45"/>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lastRenderedPageBreak/>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46" w:name="_Toc38546779"/>
      <w:r w:rsidRPr="00831901">
        <w:t>BIỆN PHÁP VỆ SINH MÔI TRƯỜNG:</w:t>
      </w:r>
      <w:bookmarkEnd w:id="46"/>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lastRenderedPageBreak/>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xml:space="preserve">- Tất cả công nhân, cán bộ làm việc tại công trường đều phải sử dụng trang thiết bị bảo hộ lao động như: Găng tay, mũ, </w:t>
      </w:r>
      <w:proofErr w:type="gramStart"/>
      <w:r w:rsidRPr="00831901">
        <w:t>giày,…</w:t>
      </w:r>
      <w:proofErr w:type="gramEnd"/>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lastRenderedPageBreak/>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xml:space="preserve">- Khi kéo dây, rải cáp đảm bảo đúng kỹ thuật và có các hình thức cảnh báo, biển </w:t>
      </w:r>
      <w:proofErr w:type="gramStart"/>
      <w:r w:rsidRPr="00831901">
        <w:t>báo,…</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lastRenderedPageBreak/>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fldSimple w:instr=" MERGEFIELD CongTrinh ">
        <w:r w:rsidR="001831D5" w:rsidRPr="00504439">
          <w:rPr>
            <w:noProof/>
          </w:rPr>
          <w:t>Công trình: Nâng cấp và phát triển lưới điện trung thế nông thôn phục vụ sinh hoạt huyện Xuân Lộc năm 2019-2020</w:t>
        </w:r>
      </w:fldSimple>
      <w:r w:rsidRPr="00831901">
        <w:t xml:space="preserve"> của nhà thầu chúng tôi. Với phương án thi công chặt chẽ và đội ngũ kỹ sư, công nhân lành nghề. Chúng </w:t>
      </w:r>
      <w:r w:rsidRPr="00831901">
        <w:lastRenderedPageBreak/>
        <w:t>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r w:rsidR="001831D5">
        <w:fldChar w:fldCharType="begin"/>
      </w:r>
      <w:r w:rsidR="001831D5">
        <w:instrText xml:space="preserve"> MERGEFIELD ChuDauTu </w:instrText>
      </w:r>
      <w:r w:rsidR="001831D5">
        <w:fldChar w:fldCharType="separate"/>
      </w:r>
      <w:r w:rsidR="001831D5" w:rsidRPr="00504439">
        <w:rPr>
          <w:noProof/>
        </w:rPr>
        <w:t>Điện lực Xuân Lộc</w:t>
      </w:r>
      <w:r w:rsidR="001831D5">
        <w:rPr>
          <w:noProof/>
        </w:rPr>
        <w:fldChar w:fldCharType="end"/>
      </w:r>
      <w:r w:rsidRPr="00831901">
        <w:t>.</w:t>
      </w:r>
    </w:p>
    <w:p w:rsidR="00731EB9" w:rsidRPr="00831901" w:rsidRDefault="00A03EEB" w:rsidP="00572C88">
      <w:pPr>
        <w:pStyle w:val="Parag"/>
      </w:pPr>
      <w:r w:rsidRPr="00802501">
        <w:rPr>
          <w:noProof/>
        </w:rPr>
        <w:drawing>
          <wp:anchor distT="0" distB="0" distL="114300" distR="114300" simplePos="0" relativeHeight="251661312"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EB9"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728FD">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728FD">
      <w:rPr>
        <w:noProof/>
        <w:sz w:val="20"/>
        <w:szCs w:val="20"/>
      </w:rPr>
      <w:t>25</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3"/>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E0A86-3EEF-4C49-A1E2-A9EA40F4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27</Pages>
  <Words>9341</Words>
  <Characters>53247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73</cp:revision>
  <cp:lastPrinted>2020-05-10T07:36:00Z</cp:lastPrinted>
  <dcterms:created xsi:type="dcterms:W3CDTF">2020-04-10T14:28:00Z</dcterms:created>
  <dcterms:modified xsi:type="dcterms:W3CDTF">2020-05-20T14:52:00Z</dcterms:modified>
</cp:coreProperties>
</file>