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sidR="00EB1CAB">
              <w:rPr>
                <w:rFonts w:eastAsia="Arial Unicode MS"/>
                <w:b/>
                <w:sz w:val="26"/>
              </w:rPr>
              <w:t>l</w:t>
            </w:r>
            <w:r>
              <w:rPr>
                <w:rFonts w:eastAsia="Arial Unicode MS"/>
                <w:b/>
                <w:sz w:val="26"/>
              </w:rPr>
              <w:t>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w:t>
            </w:r>
            <w:r w:rsidR="00EB1CAB">
              <w:rPr>
                <w:rFonts w:eastAsia="Arial Unicode MS"/>
                <w:b/>
                <w:sz w:val="26"/>
              </w:rPr>
              <w:t>d</w:t>
            </w:r>
            <w:r>
              <w:rPr>
                <w:rFonts w:eastAsia="Arial Unicode MS"/>
                <w:b/>
                <w:sz w:val="26"/>
              </w:rPr>
              <w:t xml:space="preserve">o - </w:t>
            </w:r>
            <w:proofErr w:type="spellStart"/>
            <w:r>
              <w:rPr>
                <w:rFonts w:eastAsia="Arial Unicode MS"/>
                <w:b/>
                <w:sz w:val="26"/>
              </w:rPr>
              <w:t>Hạnh</w:t>
            </w:r>
            <w:proofErr w:type="spellEnd"/>
            <w:r>
              <w:rPr>
                <w:rFonts w:eastAsia="Arial Unicode MS"/>
                <w:b/>
                <w:sz w:val="26"/>
              </w:rPr>
              <w:t xml:space="preserve"> </w:t>
            </w:r>
            <w:proofErr w:type="spellStart"/>
            <w:r w:rsidR="00EB1CAB">
              <w:rPr>
                <w:rFonts w:eastAsia="Arial Unicode MS"/>
                <w:b/>
                <w:sz w:val="26"/>
              </w:rPr>
              <w:t>p</w:t>
            </w:r>
            <w:r>
              <w:rPr>
                <w:rFonts w:eastAsia="Arial Unicode MS"/>
                <w:b/>
                <w:sz w:val="26"/>
              </w:rPr>
              <w:t>húc</w:t>
            </w:r>
            <w:proofErr w:type="spellEnd"/>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F15470" w:rsidRPr="006D1EFA">
        <w:rPr>
          <w:b/>
          <w:noProof/>
          <w:sz w:val="26"/>
          <w:szCs w:val="26"/>
        </w:rPr>
        <w:t>HỆ THỐNG PHÁT ĐIỆN NĂNG LƯỢNG MẶT TRỜI PHỤC VỤ HỆ THỐNG CHIẾU SÁNG THÔNG MINH TẠI KHU DÂN CƯ KIỂU MẪU ẤP BẢO THỊ, XÃ BẢO ĐỊNH, HUYỆN XUÂN LỘC</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F15470" w:rsidRPr="006D1EFA">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F15470" w:rsidRPr="006D1EFA">
        <w:rPr>
          <w:b/>
          <w:bCs/>
          <w:noProof/>
          <w:sz w:val="28"/>
          <w:szCs w:val="28"/>
        </w:rPr>
        <w:t>PHÒNG KINH TẾ VÀ HẠ TẦNG HUYỆN XUÂN LỘC</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7E7D6C" w:rsidRPr="007E7D6C" w:rsidRDefault="007E7D6C" w:rsidP="007E7D6C">
      <w:pPr>
        <w:pStyle w:val="Parag"/>
      </w:pPr>
      <w:proofErr w:type="spellStart"/>
      <w:r>
        <w:t>Xây</w:t>
      </w:r>
      <w:proofErr w:type="spellEnd"/>
      <w:r>
        <w:t xml:space="preserve"> </w:t>
      </w:r>
      <w:proofErr w:type="spellStart"/>
      <w:r>
        <w:t>dựng</w:t>
      </w:r>
      <w:proofErr w:type="spellEnd"/>
      <w:r>
        <w:t xml:space="preserve"> </w:t>
      </w:r>
      <w:proofErr w:type="spellStart"/>
      <w:r>
        <w:t>h</w:t>
      </w:r>
      <w:r w:rsidRPr="007E7D6C">
        <w:t>ệ</w:t>
      </w:r>
      <w:proofErr w:type="spellEnd"/>
      <w:r w:rsidRPr="007E7D6C">
        <w:t xml:space="preserve"> </w:t>
      </w:r>
      <w:proofErr w:type="spellStart"/>
      <w:r w:rsidRPr="007E7D6C">
        <w:t>thống</w:t>
      </w:r>
      <w:proofErr w:type="spellEnd"/>
      <w:r w:rsidRPr="007E7D6C">
        <w:t xml:space="preserve"> </w:t>
      </w:r>
      <w:proofErr w:type="spellStart"/>
      <w:r w:rsidRPr="007E7D6C">
        <w:t>phát</w:t>
      </w:r>
      <w:proofErr w:type="spellEnd"/>
      <w:r w:rsidRPr="007E7D6C">
        <w:t xml:space="preserve"> </w:t>
      </w:r>
      <w:proofErr w:type="spellStart"/>
      <w:r w:rsidRPr="007E7D6C">
        <w:t>điện</w:t>
      </w:r>
      <w:proofErr w:type="spellEnd"/>
      <w:r w:rsidRPr="007E7D6C">
        <w:t xml:space="preserve"> </w:t>
      </w:r>
      <w:proofErr w:type="spellStart"/>
      <w:r w:rsidRPr="007E7D6C">
        <w:t>năng</w:t>
      </w:r>
      <w:proofErr w:type="spellEnd"/>
      <w:r w:rsidRPr="007E7D6C">
        <w:t xml:space="preserve"> </w:t>
      </w:r>
      <w:proofErr w:type="spellStart"/>
      <w:r w:rsidRPr="007E7D6C">
        <w:t>lượng</w:t>
      </w:r>
      <w:proofErr w:type="spellEnd"/>
      <w:r w:rsidRPr="007E7D6C">
        <w:t xml:space="preserve"> </w:t>
      </w:r>
      <w:proofErr w:type="spellStart"/>
      <w:r w:rsidRPr="007E7D6C">
        <w:t>mặt</w:t>
      </w:r>
      <w:proofErr w:type="spellEnd"/>
      <w:r w:rsidRPr="007E7D6C">
        <w:t xml:space="preserve"> </w:t>
      </w:r>
      <w:proofErr w:type="spellStart"/>
      <w:r w:rsidRPr="007E7D6C">
        <w:t>trời</w:t>
      </w:r>
      <w:proofErr w:type="spellEnd"/>
      <w:r w:rsidRPr="007E7D6C">
        <w:t xml:space="preserve"> </w:t>
      </w:r>
      <w:proofErr w:type="spellStart"/>
      <w:r w:rsidRPr="007E7D6C">
        <w:t>phục</w:t>
      </w:r>
      <w:proofErr w:type="spellEnd"/>
      <w:r w:rsidRPr="007E7D6C">
        <w:t xml:space="preserve"> </w:t>
      </w:r>
      <w:proofErr w:type="spellStart"/>
      <w:r w:rsidRPr="007E7D6C">
        <w:t>vụ</w:t>
      </w:r>
      <w:proofErr w:type="spellEnd"/>
      <w:r w:rsidRPr="007E7D6C">
        <w:t xml:space="preserve"> </w:t>
      </w:r>
      <w:proofErr w:type="spellStart"/>
      <w:r w:rsidRPr="007E7D6C">
        <w:t>hệ</w:t>
      </w:r>
      <w:proofErr w:type="spellEnd"/>
      <w:r w:rsidRPr="007E7D6C">
        <w:t xml:space="preserve"> </w:t>
      </w:r>
      <w:proofErr w:type="spellStart"/>
      <w:r w:rsidRPr="007E7D6C">
        <w:t>thống</w:t>
      </w:r>
      <w:proofErr w:type="spellEnd"/>
      <w:r w:rsidRPr="007E7D6C">
        <w:t xml:space="preserve"> </w:t>
      </w:r>
      <w:proofErr w:type="spellStart"/>
      <w:r w:rsidRPr="007E7D6C">
        <w:t>chiếu</w:t>
      </w:r>
      <w:proofErr w:type="spellEnd"/>
      <w:r w:rsidRPr="007E7D6C">
        <w:t xml:space="preserve"> </w:t>
      </w:r>
      <w:proofErr w:type="spellStart"/>
      <w:r w:rsidRPr="007E7D6C">
        <w:t>s</w:t>
      </w:r>
      <w:r>
        <w:t>á</w:t>
      </w:r>
      <w:r w:rsidRPr="007E7D6C">
        <w:t>ng</w:t>
      </w:r>
      <w:proofErr w:type="spellEnd"/>
      <w:r w:rsidRPr="007E7D6C">
        <w:t xml:space="preserve"> </w:t>
      </w:r>
      <w:proofErr w:type="spellStart"/>
      <w:r w:rsidRPr="007E7D6C">
        <w:t>thông</w:t>
      </w:r>
      <w:proofErr w:type="spellEnd"/>
      <w:r w:rsidRPr="007E7D6C">
        <w:t xml:space="preserve"> </w:t>
      </w:r>
      <w:proofErr w:type="spellStart"/>
      <w:r w:rsidRPr="007E7D6C">
        <w:t>minh</w:t>
      </w:r>
      <w:proofErr w:type="spellEnd"/>
      <w:r w:rsidRPr="007E7D6C">
        <w:t xml:space="preserve"> </w:t>
      </w:r>
      <w:proofErr w:type="spellStart"/>
      <w:r w:rsidRPr="007E7D6C">
        <w:t>tại</w:t>
      </w:r>
      <w:proofErr w:type="spellEnd"/>
      <w:r w:rsidRPr="007E7D6C">
        <w:t xml:space="preserve"> </w:t>
      </w:r>
      <w:proofErr w:type="spellStart"/>
      <w:r w:rsidRPr="007E7D6C">
        <w:t>khu</w:t>
      </w:r>
      <w:proofErr w:type="spellEnd"/>
      <w:r w:rsidRPr="007E7D6C">
        <w:t xml:space="preserve"> </w:t>
      </w:r>
      <w:proofErr w:type="spellStart"/>
      <w:r w:rsidRPr="007E7D6C">
        <w:t>dân</w:t>
      </w:r>
      <w:proofErr w:type="spellEnd"/>
      <w:r w:rsidRPr="007E7D6C">
        <w:t xml:space="preserve"> </w:t>
      </w:r>
      <w:proofErr w:type="spellStart"/>
      <w:r w:rsidRPr="007E7D6C">
        <w:t>cư</w:t>
      </w:r>
      <w:proofErr w:type="spellEnd"/>
      <w:r w:rsidRPr="007E7D6C">
        <w:t xml:space="preserve"> </w:t>
      </w:r>
      <w:proofErr w:type="spellStart"/>
      <w:r w:rsidRPr="007E7D6C">
        <w:t>kiểu</w:t>
      </w:r>
      <w:proofErr w:type="spellEnd"/>
      <w:r w:rsidRPr="007E7D6C">
        <w:t xml:space="preserve"> </w:t>
      </w:r>
      <w:proofErr w:type="spellStart"/>
      <w:r w:rsidRPr="007E7D6C">
        <w:t>mẫu</w:t>
      </w:r>
      <w:proofErr w:type="spellEnd"/>
      <w:r w:rsidRPr="007E7D6C">
        <w:t xml:space="preserve"> </w:t>
      </w:r>
      <w:proofErr w:type="spellStart"/>
      <w:r w:rsidRPr="007E7D6C">
        <w:t>ấp</w:t>
      </w:r>
      <w:proofErr w:type="spellEnd"/>
      <w:r w:rsidRPr="007E7D6C">
        <w:t xml:space="preserve"> </w:t>
      </w:r>
      <w:proofErr w:type="spellStart"/>
      <w:r w:rsidRPr="007E7D6C">
        <w:t>Bảo</w:t>
      </w:r>
      <w:proofErr w:type="spellEnd"/>
      <w:r w:rsidRPr="007E7D6C">
        <w:t xml:space="preserve"> </w:t>
      </w:r>
      <w:proofErr w:type="spellStart"/>
      <w:r w:rsidRPr="007E7D6C">
        <w:t>Thị</w:t>
      </w:r>
      <w:proofErr w:type="spellEnd"/>
      <w:r w:rsidRPr="007E7D6C">
        <w:t xml:space="preserve">, </w:t>
      </w:r>
      <w:proofErr w:type="spellStart"/>
      <w:r w:rsidRPr="007E7D6C">
        <w:t>xã</w:t>
      </w:r>
      <w:proofErr w:type="spellEnd"/>
      <w:r w:rsidRPr="007E7D6C">
        <w:t xml:space="preserve"> </w:t>
      </w:r>
      <w:proofErr w:type="spellStart"/>
      <w:r w:rsidRPr="007E7D6C">
        <w:t>Bảo</w:t>
      </w:r>
      <w:proofErr w:type="spellEnd"/>
      <w:r w:rsidRPr="007E7D6C">
        <w:t xml:space="preserve"> </w:t>
      </w:r>
      <w:proofErr w:type="spellStart"/>
      <w:r w:rsidRPr="007E7D6C">
        <w:t>Định</w:t>
      </w:r>
      <w:proofErr w:type="spellEnd"/>
      <w:r w:rsidRPr="007E7D6C">
        <w:t xml:space="preserve">, </w:t>
      </w:r>
      <w:proofErr w:type="spellStart"/>
      <w:r w:rsidRPr="007E7D6C">
        <w:t>huyện</w:t>
      </w:r>
      <w:proofErr w:type="spellEnd"/>
      <w:r w:rsidRPr="007E7D6C">
        <w:t xml:space="preserve"> </w:t>
      </w:r>
      <w:proofErr w:type="spellStart"/>
      <w:r w:rsidRPr="007E7D6C">
        <w:t>Xuân</w:t>
      </w:r>
      <w:proofErr w:type="spellEnd"/>
      <w:r w:rsidRPr="007E7D6C">
        <w:t xml:space="preserve"> </w:t>
      </w:r>
      <w:proofErr w:type="spellStart"/>
      <w:r w:rsidRPr="007E7D6C">
        <w:t>Lộc</w:t>
      </w:r>
      <w:proofErr w:type="spellEnd"/>
      <w:r w:rsidR="00F54338">
        <w:t>.</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F54338">
        <w:rPr>
          <w:b/>
          <w:bCs/>
        </w:rPr>
        <w:fldChar w:fldCharType="separate"/>
      </w:r>
      <w:r w:rsidR="00F15470" w:rsidRPr="006D1EFA">
        <w:rPr>
          <w:b/>
          <w:bCs/>
          <w:noProof/>
        </w:rPr>
        <w:t>30</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bookmarkStart w:id="5" w:name="_GoBack"/>
            <w:bookmarkEnd w:id="5"/>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F54338">
              <w:rPr>
                <w:b/>
                <w:bCs/>
                <w:color w:val="000000"/>
              </w:rPr>
              <w:fldChar w:fldCharType="separate"/>
            </w:r>
            <w:r w:rsidR="00F15470" w:rsidRPr="006D1EFA">
              <w:rPr>
                <w:b/>
                <w:bCs/>
                <w:noProof/>
                <w:color w:val="000000"/>
              </w:rPr>
              <w:t>30</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1072"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718981"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BA075" id="AutoShape 121" o:spid="_x0000_s1026" type="#_x0000_t32" style="position:absolute;margin-left:7.8pt;margin-top:15.95pt;width:7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1A767" id="AutoShape 116" o:spid="_x0000_s1026" type="#_x0000_t32" style="position:absolute;margin-left:26.4pt;margin-top:16.65pt;width:2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168"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045E3" id="AutoShape 117" o:spid="_x0000_s1026" type="#_x0000_t32" style="position:absolute;margin-left:1.55pt;margin-top:9.2pt;width:35.4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6192"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BF28B" id="AutoShape 119" o:spid="_x0000_s1026" type="#_x0000_t32" style="position:absolute;margin-left:-15.4pt;margin-top:14.5pt;width:33.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8BC40" id="AutoShape 121" o:spid="_x0000_s1026" type="#_x0000_t32" style="position:absolute;margin-left:-35.3pt;margin-top:5.65pt;width:7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5D1D8" id="AutoShape 120" o:spid="_x0000_s1026" type="#_x0000_t32" style="position:absolute;margin-left:44.15pt;margin-top:16.2pt;width:15.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6"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6"/>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7E7D6C">
        <w:fldChar w:fldCharType="begin"/>
      </w:r>
      <w:r w:rsidR="007E7D6C">
        <w:instrText xml:space="preserve"> MERGEFIELD SoLanCatDien </w:instrText>
      </w:r>
      <w:r w:rsidR="007E7D6C">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2"/>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3"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3"/>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4"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4"/>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5"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5"/>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6"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6"/>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7"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7"/>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2"/>
      <w:r w:rsidRPr="00831901">
        <w:t xml:space="preserve"> </w:t>
      </w:r>
    </w:p>
    <w:p w:rsidR="00CB5915" w:rsidRDefault="00E8115F" w:rsidP="004B6CE3">
      <w:pPr>
        <w:pStyle w:val="Heading7"/>
      </w:pPr>
      <w:r w:rsidRPr="00CE0A79">
        <w:rPr>
          <w:b/>
          <w:bCs/>
          <w:noProof/>
          <w:sz w:val="32"/>
          <w:szCs w:val="32"/>
        </w:rPr>
        <w:drawing>
          <wp:anchor distT="0" distB="0" distL="114300" distR="114300" simplePos="0" relativeHeight="251665408"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915" w:rsidRPr="00AE5104">
        <w:t>Sơ</w:t>
      </w:r>
      <w:proofErr w:type="spellEnd"/>
      <w:r w:rsidR="00CB5915" w:rsidRPr="00AE5104">
        <w:t xml:space="preserve"> </w:t>
      </w:r>
      <w:proofErr w:type="spellStart"/>
      <w:r w:rsidR="00CB5915" w:rsidRPr="00AE5104">
        <w:t>đồ</w:t>
      </w:r>
      <w:proofErr w:type="spellEnd"/>
      <w:r w:rsidR="00CB5915" w:rsidRPr="00AE5104">
        <w:t xml:space="preserve"> </w:t>
      </w:r>
      <w:proofErr w:type="spellStart"/>
      <w:r w:rsidR="00CB5915" w:rsidRPr="00AE5104">
        <w:t>mặt</w:t>
      </w:r>
      <w:proofErr w:type="spellEnd"/>
      <w:r w:rsidR="00CB5915" w:rsidRPr="00AE5104">
        <w:t xml:space="preserve"> </w:t>
      </w:r>
      <w:proofErr w:type="spellStart"/>
      <w:r w:rsidR="00CB5915" w:rsidRPr="00AE5104">
        <w:t>bằng</w:t>
      </w:r>
      <w:proofErr w:type="spellEnd"/>
      <w:r w:rsidR="00CB5915" w:rsidRPr="00AE5104">
        <w:t xml:space="preserve"> </w:t>
      </w:r>
      <w:proofErr w:type="spellStart"/>
      <w:r w:rsidR="00CB5915" w:rsidRPr="00AE5104">
        <w:t>bố</w:t>
      </w:r>
      <w:proofErr w:type="spellEnd"/>
      <w:r w:rsidR="00CB5915" w:rsidRPr="00AE5104">
        <w:t xml:space="preserve"> </w:t>
      </w:r>
      <w:proofErr w:type="spellStart"/>
      <w:r w:rsidR="00CB5915" w:rsidRPr="00AE5104">
        <w:t>trí</w:t>
      </w:r>
      <w:proofErr w:type="spellEnd"/>
      <w:r w:rsidR="00CB5915" w:rsidRPr="00AE5104">
        <w:t xml:space="preserve"> </w:t>
      </w:r>
      <w:proofErr w:type="spellStart"/>
      <w:r>
        <w:t>kho</w:t>
      </w:r>
      <w:proofErr w:type="spellEnd"/>
      <w:r>
        <w:t xml:space="preserve"> </w:t>
      </w:r>
      <w:proofErr w:type="spellStart"/>
      <w:r>
        <w:t>bãi</w:t>
      </w:r>
      <w:proofErr w:type="spellEnd"/>
      <w:r>
        <w:t xml:space="preserve"> </w:t>
      </w:r>
      <w:proofErr w:type="spellStart"/>
      <w:r w:rsidR="00CB5915" w:rsidRPr="00AE5104">
        <w:t>công</w:t>
      </w:r>
      <w:proofErr w:type="spellEnd"/>
      <w:r w:rsidR="00CB5915" w:rsidRPr="00AE5104">
        <w:t xml:space="preserve"> </w:t>
      </w:r>
      <w:proofErr w:type="spellStart"/>
      <w:r w:rsidR="00CB5915" w:rsidRPr="00AE5104">
        <w:t>trình</w:t>
      </w:r>
      <w:proofErr w:type="spellEnd"/>
      <w:r w:rsidR="00CB5915"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3"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3"/>
    </w:p>
    <w:p w:rsidR="00905589" w:rsidRDefault="00905589" w:rsidP="004B6CE3">
      <w:pPr>
        <w:pStyle w:val="Heading3"/>
        <w:numPr>
          <w:ilvl w:val="1"/>
          <w:numId w:val="7"/>
        </w:numPr>
      </w:pPr>
      <w:bookmarkStart w:id="24" w:name="_Toc38546755"/>
      <w:proofErr w:type="spellStart"/>
      <w:r w:rsidRPr="002A63C6">
        <w:lastRenderedPageBreak/>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4"/>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5"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6" w:name="_Toc38546757"/>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6"/>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7" w:name="_Toc38546758"/>
      <w:proofErr w:type="spellStart"/>
      <w:r>
        <w:lastRenderedPageBreak/>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7"/>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8"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8"/>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9"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9"/>
    </w:p>
    <w:p w:rsidR="00CC76D7" w:rsidRDefault="00CC76D7"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30"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30"/>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1"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1"/>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2"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2"/>
    </w:p>
    <w:p w:rsidR="00EF0672" w:rsidRPr="00EF0672" w:rsidRDefault="00EF0672" w:rsidP="004B6CE3">
      <w:pPr>
        <w:pStyle w:val="Heading3"/>
        <w:numPr>
          <w:ilvl w:val="1"/>
          <w:numId w:val="12"/>
        </w:numPr>
      </w:pPr>
      <w:bookmarkStart w:id="33"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3"/>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lastRenderedPageBreak/>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lastRenderedPageBreak/>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fldSimple w:instr=" MERGEFIELD CongTrinh ">
        <w:r w:rsidR="00F15470" w:rsidRPr="006D1EFA">
          <w:rPr>
            <w:noProof/>
          </w:rPr>
          <w:t>Hệ thống phát điện năng lượng mặt trời phục vụ hệ thống chiếu sáng thông minh tại khu dân cư kiểu mẫu ấp Bảo Thị, xã Bảo Định, huyện Xuân Lộc</w:t>
        </w:r>
      </w:fldSimple>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fldSimple w:instr=" MERGEFIELD ChuDauTu ">
        <w:r w:rsidR="00F15470" w:rsidRPr="006D1EFA">
          <w:rPr>
            <w:noProof/>
          </w:rPr>
          <w:t>Phòng Kinh tế và hạ tầng huyện Xuân Lộc</w:t>
        </w:r>
      </w:fldSimple>
      <w:r w:rsidRPr="00831901">
        <w:t>.</w:t>
      </w:r>
    </w:p>
    <w:p w:rsidR="00731EB9" w:rsidRPr="00831901" w:rsidRDefault="00731EB9"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2C" w:rsidRDefault="00FA0F2C">
      <w:r>
        <w:separator/>
      </w:r>
    </w:p>
    <w:p w:rsidR="00FA0F2C" w:rsidRDefault="00FA0F2C"/>
  </w:endnote>
  <w:endnote w:type="continuationSeparator" w:id="0">
    <w:p w:rsidR="00FA0F2C" w:rsidRDefault="00FA0F2C">
      <w:r>
        <w:continuationSeparator/>
      </w:r>
    </w:p>
    <w:p w:rsidR="00FA0F2C" w:rsidRDefault="00FA0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2C" w:rsidRPr="00AE6824" w:rsidRDefault="00FA0F2C"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FA0F2C" w:rsidRDefault="00FA0F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2C" w:rsidRDefault="00FA0F2C">
      <w:r>
        <w:separator/>
      </w:r>
    </w:p>
    <w:p w:rsidR="00FA0F2C" w:rsidRDefault="00FA0F2C"/>
  </w:footnote>
  <w:footnote w:type="continuationSeparator" w:id="0">
    <w:p w:rsidR="00FA0F2C" w:rsidRDefault="00FA0F2C">
      <w:r>
        <w:continuationSeparator/>
      </w:r>
    </w:p>
    <w:p w:rsidR="00FA0F2C" w:rsidRDefault="00FA0F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7516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E7D6C"/>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15470"/>
    <w:rsid w:val="00F2677D"/>
    <w:rsid w:val="00F305AD"/>
    <w:rsid w:val="00F31482"/>
    <w:rsid w:val="00F3385E"/>
    <w:rsid w:val="00F34269"/>
    <w:rsid w:val="00F40AAD"/>
    <w:rsid w:val="00F44418"/>
    <w:rsid w:val="00F54338"/>
    <w:rsid w:val="00F61499"/>
    <w:rsid w:val="00F6189C"/>
    <w:rsid w:val="00F67B9C"/>
    <w:rsid w:val="00F73FAE"/>
    <w:rsid w:val="00F81A24"/>
    <w:rsid w:val="00F83824"/>
    <w:rsid w:val="00F84487"/>
    <w:rsid w:val="00F9108C"/>
    <w:rsid w:val="00F92D00"/>
    <w:rsid w:val="00F95940"/>
    <w:rsid w:val="00F9686E"/>
    <w:rsid w:val="00FA0F2C"/>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shapelayout v:ext="edit">
      <o:idmap v:ext="edit" data="1"/>
    </o:shapelayout>
  </w:shapeDefaults>
  <w:decimalSymbol w:val=","/>
  <w:listSeparator w:val=","/>
  <w14:docId w14:val="6DAE4BAE"/>
  <w15:docId w15:val="{13C90C62-BE2F-4CB5-A6A8-DDCC4B6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74B2-B6DD-4636-90E6-28B9C0E5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25</Pages>
  <Words>8651</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91</cp:revision>
  <cp:lastPrinted>2020-05-10T07:36:00Z</cp:lastPrinted>
  <dcterms:created xsi:type="dcterms:W3CDTF">2020-04-10T14:28:00Z</dcterms:created>
  <dcterms:modified xsi:type="dcterms:W3CDTF">2020-11-11T12:28:00Z</dcterms:modified>
</cp:coreProperties>
</file>