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448F73A6" w14:textId="77777777" w:rsidR="00DD6859" w:rsidRPr="00DD6859" w:rsidRDefault="00DD6859" w:rsidP="00DD6859">
      <w:pPr>
        <w:widowControl w:val="0"/>
        <w:tabs>
          <w:tab w:val="left" w:pos="993"/>
          <w:tab w:val="left" w:pos="4395"/>
        </w:tabs>
        <w:snapToGrid w:val="0"/>
        <w:spacing w:before="120" w:after="120"/>
        <w:jc w:val="both"/>
        <w:rPr>
          <w:rFonts w:eastAsia="Calibri"/>
          <w:szCs w:val="24"/>
        </w:rPr>
      </w:pPr>
      <w:r w:rsidRPr="00DD6859">
        <w:rPr>
          <w:rFonts w:eastAsia="Calibri"/>
          <w:szCs w:val="24"/>
        </w:rPr>
        <w:t>Theo Văn bản ủy quyền số 6465/GUQ-EVNSPC ngày 02/07/2025 của ông Nguyễn Phước Đức – Chức vụ Tổng Giám đốc Tổng Công ty Điện lực miền Nam TNHH;</w:t>
      </w:r>
    </w:p>
    <w:p w14:paraId="4E548DBB" w14:textId="77777777" w:rsidR="00DD6859" w:rsidRPr="00DD6859" w:rsidRDefault="00DD6859" w:rsidP="00DD6859">
      <w:pPr>
        <w:widowControl w:val="0"/>
        <w:tabs>
          <w:tab w:val="left" w:pos="993"/>
          <w:tab w:val="left" w:pos="4395"/>
        </w:tabs>
        <w:snapToGrid w:val="0"/>
        <w:spacing w:before="120" w:after="120"/>
        <w:jc w:val="both"/>
        <w:rPr>
          <w:rFonts w:eastAsia="Calibri"/>
          <w:szCs w:val="24"/>
        </w:rPr>
      </w:pPr>
      <w:r w:rsidRPr="00DD6859">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D4134F1" w14:textId="77777777" w:rsidR="00F179FB" w:rsidRPr="004F520B" w:rsidRDefault="00F179FB" w:rsidP="00F179FB">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1998BE65" w14:textId="77777777" w:rsidR="00F179FB" w:rsidRPr="00292DD5" w:rsidRDefault="00F179FB" w:rsidP="00F179FB">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13CCEF0D" w14:textId="77777777" w:rsidR="00F179FB" w:rsidRPr="00F179FB" w:rsidRDefault="00F179FB" w:rsidP="00F179FB">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7FB8EB4" w14:textId="77777777" w:rsidR="00F179FB" w:rsidRPr="009574F5" w:rsidRDefault="00F179FB" w:rsidP="00F179FB">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489E6615" w14:textId="77777777" w:rsidR="00F179FB" w:rsidRPr="00F179FB" w:rsidRDefault="00F179FB" w:rsidP="00F179FB">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7FBF1389" w14:textId="77777777" w:rsidR="00F179FB" w:rsidRPr="00F179FB" w:rsidRDefault="00F179FB" w:rsidP="00F179FB">
      <w:pPr>
        <w:pStyle w:val="BodyText"/>
        <w:spacing w:before="120"/>
        <w:ind w:right="33"/>
        <w:jc w:val="left"/>
        <w:rPr>
          <w:rFonts w:ascii="Times New Roman" w:hAnsi="Times New Roman"/>
          <w:spacing w:val="-9"/>
          <w:w w:val="105"/>
          <w:sz w:val="24"/>
          <w:szCs w:val="24"/>
        </w:rPr>
      </w:pPr>
      <w:r w:rsidRPr="00F179FB">
        <w:rPr>
          <w:rFonts w:ascii="Times New Roman" w:hAnsi="Times New Roman"/>
          <w:spacing w:val="-9"/>
          <w:w w:val="105"/>
          <w:sz w:val="24"/>
          <w:szCs w:val="24"/>
        </w:rPr>
        <w:t>Tài khoản số : ................................... Tại Ngân hàng: ...................................................</w:t>
      </w:r>
    </w:p>
    <w:p w14:paraId="605D5BCA" w14:textId="7479143C" w:rsidR="00F179FB" w:rsidRPr="00CB29A6" w:rsidRDefault="00F179FB" w:rsidP="00F179FB">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7897394F" w14:textId="77777777" w:rsidR="00F179FB" w:rsidRPr="00292DD5" w:rsidRDefault="00F179FB" w:rsidP="00F179FB">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5C7E7F3D" w14:textId="77777777" w:rsidR="00F179FB" w:rsidRPr="00292DD5" w:rsidRDefault="00F179FB" w:rsidP="00F179FB">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BE42498" w14:textId="77777777" w:rsidR="00F179FB" w:rsidRPr="00292DD5" w:rsidRDefault="00F179FB" w:rsidP="00F179FB">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7A5CC876" w14:textId="77777777" w:rsidR="00F179FB" w:rsidRPr="0078023B" w:rsidRDefault="00F179FB" w:rsidP="00F179FB">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548350C6" w14:textId="77777777" w:rsidR="00F179FB" w:rsidRPr="00292DD5" w:rsidRDefault="00F179FB" w:rsidP="00F179FB">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4CBEAA26" w14:textId="77777777" w:rsidR="00F179FB" w:rsidRPr="00292DD5" w:rsidRDefault="00F179FB" w:rsidP="00F179FB">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E1B15B0" w:rsidR="009D2AD4" w:rsidRPr="00951A9E" w:rsidRDefault="00F179FB"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70684660"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951A9E" w:rsidRPr="00951A9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395E02"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Phạm vi bảo đảm: Các Bên thống nhất rằng Bên B xác lập Biện Pháp Bảo Đảm với </w:t>
      </w:r>
      <w:r w:rsidRPr="00292DD5">
        <w:rPr>
          <w:rFonts w:eastAsia="Calibri"/>
          <w:szCs w:val="24"/>
        </w:rPr>
        <w:lastRenderedPageBreak/>
        <w:t>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Biện Pháp Bảo Đảm là đặt cọc bằng tiền: ngay lập tức khấu trừ trực tiếp vào </w:t>
      </w:r>
      <w:r w:rsidRPr="00292DD5">
        <w:rPr>
          <w:rFonts w:eastAsia="Calibri"/>
          <w:szCs w:val="24"/>
        </w:rPr>
        <w:lastRenderedPageBreak/>
        <w:t>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lastRenderedPageBreak/>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F179FB">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lastRenderedPageBreak/>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292DD5">
        <w:rPr>
          <w:rFonts w:eastAsia="Calibri"/>
          <w:szCs w:val="24"/>
        </w:rPr>
        <w:lastRenderedPageBreak/>
        <w:t xml:space="preserve">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sửa đổi, bổ sung Hợp Đồng được thực hiện bằng cách ký kết Hợp đồng sửa </w:t>
      </w:r>
      <w:r w:rsidRPr="00292DD5">
        <w:rPr>
          <w:rFonts w:eastAsia="Calibri"/>
          <w:szCs w:val="24"/>
        </w:rPr>
        <w:lastRenderedPageBreak/>
        <w:t>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8EC44" w14:textId="77777777" w:rsidR="00B242CF" w:rsidRPr="00292DD5" w:rsidRDefault="00B242CF" w:rsidP="00FC61FE">
      <w:r w:rsidRPr="00292DD5">
        <w:separator/>
      </w:r>
    </w:p>
  </w:endnote>
  <w:endnote w:type="continuationSeparator" w:id="0">
    <w:p w14:paraId="5E919037" w14:textId="77777777" w:rsidR="00B242CF" w:rsidRPr="00292DD5" w:rsidRDefault="00B242CF"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82500" w14:textId="77777777" w:rsidR="00B242CF" w:rsidRPr="00292DD5" w:rsidRDefault="00B242CF" w:rsidP="00FC61FE">
      <w:r w:rsidRPr="00292DD5">
        <w:separator/>
      </w:r>
    </w:p>
  </w:footnote>
  <w:footnote w:type="continuationSeparator" w:id="0">
    <w:p w14:paraId="061C95CC" w14:textId="77777777" w:rsidR="00B242CF" w:rsidRPr="00292DD5" w:rsidRDefault="00B242CF"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040"/>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C7A52"/>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37"/>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441C9"/>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3777"/>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1A9E"/>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42CF"/>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9A6"/>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859"/>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179FB"/>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19</Pages>
  <Words>7238</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231</cp:revision>
  <cp:lastPrinted>2025-05-09T04:21:00Z</cp:lastPrinted>
  <dcterms:created xsi:type="dcterms:W3CDTF">2025-05-09T06:30:00Z</dcterms:created>
  <dcterms:modified xsi:type="dcterms:W3CDTF">2025-08-14T07:51:00Z</dcterms:modified>
</cp:coreProperties>
</file>