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Nguyễn Phước Đức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sidRPr="001E65A5">
        <w:rPr>
          <w:rFonts w:eastAsia="Calibri"/>
          <w:szCs w:val="24"/>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15542E61" w:rsidR="003C6343" w:rsidRPr="001D7337"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02395B">
              <w:rPr>
                <w:rFonts w:ascii="Times New Roman" w:hAnsi="Times New Roman"/>
              </w:rPr>
              <w:t xml:space="preserve">Bên </w:t>
            </w:r>
            <w:r w:rsidRPr="0002395B">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8311F" w14:textId="77777777" w:rsidR="007E4052" w:rsidRPr="00292DD5" w:rsidRDefault="007E4052" w:rsidP="00FC61FE">
      <w:r w:rsidRPr="00292DD5">
        <w:separator/>
      </w:r>
    </w:p>
  </w:endnote>
  <w:endnote w:type="continuationSeparator" w:id="0">
    <w:p w14:paraId="10387D99" w14:textId="77777777" w:rsidR="007E4052" w:rsidRPr="00292DD5" w:rsidRDefault="007E405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A23F0" w14:textId="77777777" w:rsidR="007E4052" w:rsidRPr="00292DD5" w:rsidRDefault="007E4052" w:rsidP="00FC61FE">
      <w:r w:rsidRPr="00292DD5">
        <w:separator/>
      </w:r>
    </w:p>
  </w:footnote>
  <w:footnote w:type="continuationSeparator" w:id="0">
    <w:p w14:paraId="00C00E4B" w14:textId="77777777" w:rsidR="007E4052" w:rsidRPr="00292DD5" w:rsidRDefault="007E405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95B"/>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5A5"/>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66CDB"/>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82B"/>
    <w:rsid w:val="007C7BBA"/>
    <w:rsid w:val="007D001D"/>
    <w:rsid w:val="007D06BF"/>
    <w:rsid w:val="007D3AE3"/>
    <w:rsid w:val="007D4D3B"/>
    <w:rsid w:val="007D6902"/>
    <w:rsid w:val="007E405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19</Pages>
  <Words>7047</Words>
  <Characters>40169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238</cp:revision>
  <cp:lastPrinted>2025-05-09T04:21:00Z</cp:lastPrinted>
  <dcterms:created xsi:type="dcterms:W3CDTF">2025-05-09T06:30:00Z</dcterms:created>
  <dcterms:modified xsi:type="dcterms:W3CDTF">2025-08-19T01:48:00Z</dcterms:modified>
</cp:coreProperties>
</file>