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Nguyễn Phước Đức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sidRPr="001E65A5">
        <w:rPr>
          <w:rFonts w:eastAsia="Calibri"/>
          <w:szCs w:val="24"/>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15542E61" w:rsidR="003C6343" w:rsidRPr="001D7337"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95B82ED"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59728D">
        <w:rPr>
          <w:color w:val="000099"/>
          <w:spacing w:val="-4"/>
          <w:w w:val="105"/>
          <w:lang w:val="en-US"/>
        </w:rPr>
        <w:t>220/380V.</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02395B">
              <w:rPr>
                <w:rFonts w:ascii="Times New Roman" w:hAnsi="Times New Roman"/>
              </w:rPr>
              <w:t xml:space="preserve">Bên </w:t>
            </w:r>
            <w:r w:rsidRPr="0002395B">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B6C36" w14:textId="77777777" w:rsidR="00D16732" w:rsidRPr="00292DD5" w:rsidRDefault="00D16732" w:rsidP="00FC61FE">
      <w:r w:rsidRPr="00292DD5">
        <w:separator/>
      </w:r>
    </w:p>
  </w:endnote>
  <w:endnote w:type="continuationSeparator" w:id="0">
    <w:p w14:paraId="120E444E" w14:textId="77777777" w:rsidR="00D16732" w:rsidRPr="00292DD5" w:rsidRDefault="00D1673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7C8E1" w14:textId="77777777" w:rsidR="00D16732" w:rsidRPr="00292DD5" w:rsidRDefault="00D16732" w:rsidP="00FC61FE">
      <w:r w:rsidRPr="00292DD5">
        <w:separator/>
      </w:r>
    </w:p>
  </w:footnote>
  <w:footnote w:type="continuationSeparator" w:id="0">
    <w:p w14:paraId="77CA287B" w14:textId="77777777" w:rsidR="00D16732" w:rsidRPr="00292DD5" w:rsidRDefault="00D1673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95B"/>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5A5"/>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2212"/>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9728D"/>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66CDB"/>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82B"/>
    <w:rsid w:val="007C7BBA"/>
    <w:rsid w:val="007D001D"/>
    <w:rsid w:val="007D06BF"/>
    <w:rsid w:val="007D3AE3"/>
    <w:rsid w:val="007D4D3B"/>
    <w:rsid w:val="007D6902"/>
    <w:rsid w:val="007E405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732"/>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19</Pages>
  <Words>7044</Words>
  <Characters>40156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239</cp:revision>
  <cp:lastPrinted>2025-05-09T04:21:00Z</cp:lastPrinted>
  <dcterms:created xsi:type="dcterms:W3CDTF">2025-05-09T06:30:00Z</dcterms:created>
  <dcterms:modified xsi:type="dcterms:W3CDTF">2025-08-25T06:22:00Z</dcterms:modified>
</cp:coreProperties>
</file>