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040F8" w14:textId="77777777" w:rsidR="00241CCB" w:rsidRPr="007D75E7" w:rsidRDefault="009F5A83">
      <w:pPr>
        <w:pStyle w:val="Title"/>
        <w:jc w:val="center"/>
        <w:rPr>
          <w:rFonts w:ascii="Times New Roman" w:hAnsi="Times New Roman" w:cs="Times New Roman"/>
        </w:rPr>
      </w:pPr>
      <w:r w:rsidRPr="007D75E7">
        <w:rPr>
          <w:rFonts w:ascii="Times New Roman" w:hAnsi="Times New Roman" w:cs="Times New Roman"/>
          <w:b/>
        </w:rPr>
        <w:t>Revised Thesis Introduction and PEO Framework</w:t>
      </w:r>
    </w:p>
    <w:p w14:paraId="79095EAE"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Working title: Dual Disease Burden: Clinical Outcomes in Primary Immunodeficiency Patients with Non-Cystic Fibrosis Bronchiectasis - A Systematic Review and Meta-analysis</w:t>
      </w:r>
    </w:p>
    <w:p w14:paraId="57C50191" w14:textId="7D3AA66A" w:rsidR="00241CCB" w:rsidRPr="007D75E7" w:rsidRDefault="00680C05" w:rsidP="00680C05">
      <w:pPr>
        <w:pStyle w:val="Heading1"/>
        <w:spacing w:line="480" w:lineRule="auto"/>
        <w:rPr>
          <w:rFonts w:ascii="Times New Roman" w:hAnsi="Times New Roman" w:cs="Times New Roman"/>
        </w:rPr>
      </w:pPr>
      <w:r>
        <w:rPr>
          <w:rFonts w:ascii="Times New Roman" w:hAnsi="Times New Roman" w:cs="Times New Roman"/>
        </w:rPr>
        <w:t>I</w:t>
      </w:r>
      <w:r w:rsidR="009F5A83" w:rsidRPr="007D75E7">
        <w:rPr>
          <w:rFonts w:ascii="Times New Roman" w:hAnsi="Times New Roman" w:cs="Times New Roman"/>
        </w:rPr>
        <w:t>ntroduction</w:t>
      </w:r>
    </w:p>
    <w:p w14:paraId="3BD9FF9A"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Bronchiectasis is a chronic, progressive respiratory disorder characterised by permanent bronchial dilatation, impaired mucociliary clearance, recurrent lower respiratory tract infection, and persistent airway inflammation. Non-cystic fibrosis bronchiectasis (NCFB) is no longer regarded simply as a rare or orphan respiratory condition. Its reported burden is increasing internationally, probably reflecting greater use of high-resolution computed tomography, improved clinical recognition, population ageing, and better ascertainment through national and international registries. Large registry datasets, including EMBARC, the US Bronchiectasis Research Registry, and newer national registries from Asia and Europe, have clarified the heterogeneity of NCFB and shown that clinical trajectory varies substantially by aetiology, comorbidity profile, infection status, and disease severity.</w:t>
      </w:r>
      <w:r w:rsidRPr="00680C05">
        <w:rPr>
          <w:rFonts w:ascii="Times New Roman" w:hAnsi="Times New Roman" w:cs="Times New Roman"/>
          <w:vertAlign w:val="superscript"/>
        </w:rPr>
        <w:t>1-3</w:t>
      </w:r>
    </w:p>
    <w:p w14:paraId="352F8E50"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This heterogeneity is central to the proposed review. NCFB is best understood not as a single disease but as a clinical syndrome with multiple aetiological pathways and endotypes. Primary immunodeficiency diseases (PIDs), also termed inborn errors of immunity, are an important cause of bronchiectasis because defects in innate or adaptive immunity predispose patients to recurrent sinopulmonary infection, chronic airway inflammation, and progressive structural lung damage. In antibody deficiencies such as common variable immunodeficiency, bronchiectasis may be both a marker of delayed diagnosis and a determinant of long-term respiratory morbidity</w:t>
      </w:r>
      <w:proofErr w:type="gramStart"/>
      <w:r w:rsidRPr="007D75E7">
        <w:rPr>
          <w:rFonts w:ascii="Times New Roman" w:hAnsi="Times New Roman" w:cs="Times New Roman"/>
        </w:rPr>
        <w:t>.</w:t>
      </w:r>
      <w:r w:rsidRPr="00680C05">
        <w:rPr>
          <w:rFonts w:ascii="Times New Roman" w:hAnsi="Times New Roman" w:cs="Times New Roman"/>
          <w:vertAlign w:val="superscript"/>
        </w:rPr>
        <w:t>4</w:t>
      </w:r>
      <w:proofErr w:type="gramEnd"/>
    </w:p>
    <w:p w14:paraId="7C7364F5"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 xml:space="preserve">Available registry and specialist-clinic data suggest that immunodeficiency accounts for a minority of bronchiectasis cases in unselected national cohorts, but a substantially higher proportion in settings where systematic aetiological testing is undertaken. The submitted protocol notes estimates of approximately 1-9.4% in </w:t>
      </w:r>
      <w:r w:rsidRPr="007D75E7">
        <w:rPr>
          <w:rFonts w:ascii="Times New Roman" w:hAnsi="Times New Roman" w:cs="Times New Roman"/>
        </w:rPr>
        <w:lastRenderedPageBreak/>
        <w:t>national registries and up to 20% in specialist bronchiectasis clinics. This variation is clinically important because PID-associated bronchiectasis may be under-recognised when immune evaluation is incomplete, and because prognosis may differ from idiopathic, post-infective, or other bronchiectasis phenotypes.</w:t>
      </w:r>
      <w:r w:rsidRPr="00680C05">
        <w:rPr>
          <w:rFonts w:ascii="Times New Roman" w:hAnsi="Times New Roman" w:cs="Times New Roman"/>
          <w:vertAlign w:val="superscript"/>
        </w:rPr>
        <w:t>5-7</w:t>
      </w:r>
    </w:p>
    <w:p w14:paraId="71F4F94C"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Patients with the dual diagnosis of PID and NCFB are likely to represent a high-risk population. They may experience recurrent exacerbations, persistent bacterial infection, accelerated lung-function decline, hospitalisation, reduced quality of life, and increased mortality. Recent studies in patients with inborn errors of immunity also indicate that pulmonary complications contribute substantially to disease burden and that bronchiectasis, once established, may stabilise rather than reverse after immune-restorative interventions such as haematopoietic stem-cell transplantation.</w:t>
      </w:r>
      <w:r w:rsidRPr="00680C05">
        <w:rPr>
          <w:rFonts w:ascii="Times New Roman" w:hAnsi="Times New Roman" w:cs="Times New Roman"/>
          <w:vertAlign w:val="superscript"/>
        </w:rPr>
        <w:t>8,9</w:t>
      </w:r>
      <w:r w:rsidRPr="007D75E7">
        <w:rPr>
          <w:rFonts w:ascii="Times New Roman" w:hAnsi="Times New Roman" w:cs="Times New Roman"/>
        </w:rPr>
        <w:t xml:space="preserve"> These observations strengthen the rationale for focusing specifically on clinical outcomes rather than on prevalence alone.</w:t>
      </w:r>
    </w:p>
    <w:p w14:paraId="5E0CC0D5"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Despite this clinical importance, the evidence base remains fragmented. Many bronchiectasis trials and outcome studies either exclude patients with clinically significant immunodeficiency, combine them with other aetiologies, or report immune-deficiency subgroups too sparsely for direct clinical interpretation. Conversely, immunology studies often describe respiratory complications without consistently quantifying bronchiectasis-specific outcomes such as annual exacerbation rate, all-cause hospitalisation, FEV1 decline, mortality, or quality of life. The resulting evidence gap limits risk stratification, prognosis, shared decision-making, and the design of targeted follow-up pathways for patients with PID-associated NCFB.</w:t>
      </w:r>
    </w:p>
    <w:p w14:paraId="2A4E9EB2" w14:textId="77777777" w:rsidR="00241CCB" w:rsidRPr="007D75E7" w:rsidRDefault="009F5A83" w:rsidP="00680C05">
      <w:pPr>
        <w:spacing w:line="480" w:lineRule="auto"/>
        <w:rPr>
          <w:rFonts w:ascii="Times New Roman" w:hAnsi="Times New Roman" w:cs="Times New Roman"/>
        </w:rPr>
      </w:pPr>
      <w:r w:rsidRPr="007D75E7">
        <w:rPr>
          <w:rFonts w:ascii="Times New Roman" w:hAnsi="Times New Roman" w:cs="Times New Roman"/>
        </w:rPr>
        <w:t>This thesis therefore examines the clinical outcomes of patients with both primary immunodeficiency and non-cystic fibrosis bronchiectasis. The primary aim is to estimate the annual mortality rate in this population. Secondary aims are to estimate annual all-cause hospitalisation, annual exacerbation rate, FEV1 decline, and quality of life, and, where data permit, to compare these outcomes with patients who have NCFB without primary immunodeficiency. By synthesising currently available evidence, the review seeks to clarify the burden of this dual disease state and to identify whether outcomes are sufficiently distinct to justify tailored surveillance, prognostication, and management strategies.</w:t>
      </w:r>
    </w:p>
    <w:p w14:paraId="252ADB0C" w14:textId="77777777" w:rsidR="00241CCB" w:rsidRPr="007D75E7" w:rsidRDefault="009F5A83">
      <w:pPr>
        <w:pStyle w:val="Heading1"/>
        <w:rPr>
          <w:rFonts w:ascii="Times New Roman" w:hAnsi="Times New Roman" w:cs="Times New Roman"/>
        </w:rPr>
      </w:pPr>
      <w:r w:rsidRPr="007D75E7">
        <w:rPr>
          <w:rFonts w:ascii="Times New Roman" w:hAnsi="Times New Roman" w:cs="Times New Roman"/>
        </w:rPr>
        <w:lastRenderedPageBreak/>
        <w:t>PEO framework for the review question</w:t>
      </w:r>
    </w:p>
    <w:tbl>
      <w:tblPr>
        <w:tblStyle w:val="TableGrid"/>
        <w:tblW w:w="0" w:type="auto"/>
        <w:jc w:val="center"/>
        <w:tblLook w:val="04A0" w:firstRow="1" w:lastRow="0" w:firstColumn="1" w:lastColumn="0" w:noHBand="0" w:noVBand="1"/>
      </w:tblPr>
      <w:tblGrid>
        <w:gridCol w:w="3307"/>
        <w:gridCol w:w="3309"/>
        <w:gridCol w:w="3310"/>
      </w:tblGrid>
      <w:tr w:rsidR="00241CCB" w:rsidRPr="007D75E7" w14:paraId="1DC3460A" w14:textId="77777777">
        <w:trPr>
          <w:jc w:val="center"/>
        </w:trPr>
        <w:tc>
          <w:tcPr>
            <w:tcW w:w="3312" w:type="dxa"/>
            <w:shd w:val="clear" w:color="auto" w:fill="D9EAF7"/>
          </w:tcPr>
          <w:p w14:paraId="782220AA" w14:textId="77777777" w:rsidR="00241CCB" w:rsidRPr="007D75E7" w:rsidRDefault="009F5A83">
            <w:pPr>
              <w:rPr>
                <w:rFonts w:ascii="Times New Roman" w:hAnsi="Times New Roman" w:cs="Times New Roman"/>
              </w:rPr>
            </w:pPr>
            <w:r w:rsidRPr="007D75E7">
              <w:rPr>
                <w:rFonts w:ascii="Times New Roman" w:hAnsi="Times New Roman" w:cs="Times New Roman"/>
                <w:b/>
                <w:sz w:val="20"/>
              </w:rPr>
              <w:t>PEO element</w:t>
            </w:r>
          </w:p>
        </w:tc>
        <w:tc>
          <w:tcPr>
            <w:tcW w:w="3312" w:type="dxa"/>
            <w:shd w:val="clear" w:color="auto" w:fill="D9EAF7"/>
          </w:tcPr>
          <w:p w14:paraId="504C1AA2" w14:textId="77777777" w:rsidR="00241CCB" w:rsidRPr="007D75E7" w:rsidRDefault="009F5A83">
            <w:pPr>
              <w:rPr>
                <w:rFonts w:ascii="Times New Roman" w:hAnsi="Times New Roman" w:cs="Times New Roman"/>
              </w:rPr>
            </w:pPr>
            <w:r w:rsidRPr="007D75E7">
              <w:rPr>
                <w:rFonts w:ascii="Times New Roman" w:hAnsi="Times New Roman" w:cs="Times New Roman"/>
                <w:b/>
                <w:sz w:val="20"/>
              </w:rPr>
              <w:t>Definition for this review</w:t>
            </w:r>
          </w:p>
        </w:tc>
        <w:tc>
          <w:tcPr>
            <w:tcW w:w="3312" w:type="dxa"/>
            <w:shd w:val="clear" w:color="auto" w:fill="D9EAF7"/>
          </w:tcPr>
          <w:p w14:paraId="12A6A2E1" w14:textId="77777777" w:rsidR="00241CCB" w:rsidRPr="007D75E7" w:rsidRDefault="009F5A83">
            <w:pPr>
              <w:rPr>
                <w:rFonts w:ascii="Times New Roman" w:hAnsi="Times New Roman" w:cs="Times New Roman"/>
              </w:rPr>
            </w:pPr>
            <w:r w:rsidRPr="007D75E7">
              <w:rPr>
                <w:rFonts w:ascii="Times New Roman" w:hAnsi="Times New Roman" w:cs="Times New Roman"/>
                <w:b/>
                <w:sz w:val="20"/>
              </w:rPr>
              <w:t>Operational wording for screening/extraction</w:t>
            </w:r>
          </w:p>
        </w:tc>
      </w:tr>
      <w:tr w:rsidR="00241CCB" w:rsidRPr="007D75E7" w14:paraId="30E232A9" w14:textId="77777777">
        <w:trPr>
          <w:jc w:val="center"/>
        </w:trPr>
        <w:tc>
          <w:tcPr>
            <w:tcW w:w="3312" w:type="dxa"/>
          </w:tcPr>
          <w:p w14:paraId="6762BF3A" w14:textId="7A270E06" w:rsidR="00241CCB" w:rsidRPr="007D75E7" w:rsidRDefault="009F5A83">
            <w:pPr>
              <w:rPr>
                <w:rFonts w:ascii="Times New Roman" w:hAnsi="Times New Roman" w:cs="Times New Roman"/>
              </w:rPr>
            </w:pPr>
            <w:r w:rsidRPr="007D75E7">
              <w:rPr>
                <w:rFonts w:ascii="Times New Roman" w:hAnsi="Times New Roman" w:cs="Times New Roman"/>
                <w:sz w:val="20"/>
              </w:rPr>
              <w:t>Population</w:t>
            </w:r>
            <w:r w:rsidR="00875496">
              <w:rPr>
                <w:rFonts w:ascii="Times New Roman" w:hAnsi="Times New Roman" w:cs="Times New Roman"/>
                <w:sz w:val="20"/>
              </w:rPr>
              <w:t>*</w:t>
            </w:r>
          </w:p>
        </w:tc>
        <w:tc>
          <w:tcPr>
            <w:tcW w:w="3312" w:type="dxa"/>
          </w:tcPr>
          <w:p w14:paraId="524F0CDB" w14:textId="63AC6808" w:rsidR="00241CCB" w:rsidRPr="007D75E7" w:rsidRDefault="007D75E7">
            <w:pPr>
              <w:rPr>
                <w:rFonts w:ascii="Times New Roman" w:hAnsi="Times New Roman" w:cs="Times New Roman"/>
              </w:rPr>
            </w:pPr>
            <w:r>
              <w:rPr>
                <w:rFonts w:ascii="Times New Roman" w:hAnsi="Times New Roman" w:cs="Times New Roman"/>
                <w:sz w:val="20"/>
              </w:rPr>
              <w:t>All h</w:t>
            </w:r>
            <w:r w:rsidR="009F5A83" w:rsidRPr="007D75E7">
              <w:rPr>
                <w:rFonts w:ascii="Times New Roman" w:hAnsi="Times New Roman" w:cs="Times New Roman"/>
                <w:sz w:val="20"/>
              </w:rPr>
              <w:t>umans with non-cystic fibrosis bronchiectasis. Bronchiectasis should be clinically or radiologically diagnosed. Cystic fibrosis bronchiectasis and pulmonary fibrosis-associated bronchiectasis are excluded.</w:t>
            </w:r>
          </w:p>
        </w:tc>
        <w:tc>
          <w:tcPr>
            <w:tcW w:w="3312" w:type="dxa"/>
          </w:tcPr>
          <w:p w14:paraId="3DACFFE8" w14:textId="609812BA" w:rsidR="00241CCB" w:rsidRPr="007D75E7" w:rsidRDefault="009F5A83">
            <w:pPr>
              <w:rPr>
                <w:rFonts w:ascii="Times New Roman" w:hAnsi="Times New Roman" w:cs="Times New Roman"/>
              </w:rPr>
            </w:pPr>
            <w:r w:rsidRPr="007D75E7">
              <w:rPr>
                <w:rFonts w:ascii="Times New Roman" w:hAnsi="Times New Roman" w:cs="Times New Roman"/>
                <w:sz w:val="20"/>
              </w:rPr>
              <w:t>Include if title/abstract indicates NCFB/bronchiectasis and a relevant human population.</w:t>
            </w:r>
          </w:p>
        </w:tc>
      </w:tr>
      <w:tr w:rsidR="00241CCB" w:rsidRPr="007D75E7" w14:paraId="2D5C93CB" w14:textId="77777777">
        <w:trPr>
          <w:jc w:val="center"/>
        </w:trPr>
        <w:tc>
          <w:tcPr>
            <w:tcW w:w="3312" w:type="dxa"/>
          </w:tcPr>
          <w:p w14:paraId="70BE4CE4" w14:textId="77777777" w:rsidR="00241CCB" w:rsidRPr="007D75E7" w:rsidRDefault="009F5A83">
            <w:pPr>
              <w:rPr>
                <w:rFonts w:ascii="Times New Roman" w:hAnsi="Times New Roman" w:cs="Times New Roman"/>
              </w:rPr>
            </w:pPr>
            <w:r w:rsidRPr="007D75E7">
              <w:rPr>
                <w:rFonts w:ascii="Times New Roman" w:hAnsi="Times New Roman" w:cs="Times New Roman"/>
                <w:sz w:val="20"/>
              </w:rPr>
              <w:t>Exposure</w:t>
            </w:r>
          </w:p>
        </w:tc>
        <w:tc>
          <w:tcPr>
            <w:tcW w:w="3312" w:type="dxa"/>
          </w:tcPr>
          <w:p w14:paraId="4F98BC51" w14:textId="77777777" w:rsidR="00241CCB" w:rsidRPr="007D75E7" w:rsidRDefault="009F5A83">
            <w:pPr>
              <w:rPr>
                <w:rFonts w:ascii="Times New Roman" w:hAnsi="Times New Roman" w:cs="Times New Roman"/>
              </w:rPr>
            </w:pPr>
            <w:r w:rsidRPr="007D75E7">
              <w:rPr>
                <w:rFonts w:ascii="Times New Roman" w:hAnsi="Times New Roman" w:cs="Times New Roman"/>
                <w:sz w:val="20"/>
              </w:rPr>
              <w:t>Primary immunodeficiency/inborn error of immunity, including antibody deficiencies such as CVID and other primary immune defects.</w:t>
            </w:r>
          </w:p>
        </w:tc>
        <w:tc>
          <w:tcPr>
            <w:tcW w:w="3312" w:type="dxa"/>
          </w:tcPr>
          <w:p w14:paraId="317D4213" w14:textId="77777777" w:rsidR="00241CCB" w:rsidRPr="007D75E7" w:rsidRDefault="009F5A83">
            <w:pPr>
              <w:rPr>
                <w:rFonts w:ascii="Times New Roman" w:hAnsi="Times New Roman" w:cs="Times New Roman"/>
              </w:rPr>
            </w:pPr>
            <w:r w:rsidRPr="007D75E7">
              <w:rPr>
                <w:rFonts w:ascii="Times New Roman" w:hAnsi="Times New Roman" w:cs="Times New Roman"/>
                <w:sz w:val="20"/>
              </w:rPr>
              <w:t>Include if the record mentions primary immunodeficiency, inborn errors of immunity, immune deficiency, CVID, hypogammaglobulinaemia, lymphopenia, leukopenia, or a named PID syndrome in the context of bronchiectasis.</w:t>
            </w:r>
          </w:p>
        </w:tc>
      </w:tr>
      <w:tr w:rsidR="00241CCB" w:rsidRPr="007D75E7" w14:paraId="1A05A1F1" w14:textId="77777777">
        <w:trPr>
          <w:jc w:val="center"/>
        </w:trPr>
        <w:tc>
          <w:tcPr>
            <w:tcW w:w="3312" w:type="dxa"/>
          </w:tcPr>
          <w:p w14:paraId="539E91C3" w14:textId="77777777" w:rsidR="00241CCB" w:rsidRPr="007D75E7" w:rsidRDefault="009F5A83">
            <w:pPr>
              <w:rPr>
                <w:rFonts w:ascii="Times New Roman" w:hAnsi="Times New Roman" w:cs="Times New Roman"/>
              </w:rPr>
            </w:pPr>
            <w:r w:rsidRPr="007D75E7">
              <w:rPr>
                <w:rFonts w:ascii="Times New Roman" w:hAnsi="Times New Roman" w:cs="Times New Roman"/>
                <w:sz w:val="20"/>
              </w:rPr>
              <w:t>Outcomes</w:t>
            </w:r>
          </w:p>
        </w:tc>
        <w:tc>
          <w:tcPr>
            <w:tcW w:w="3312" w:type="dxa"/>
          </w:tcPr>
          <w:p w14:paraId="054AB677" w14:textId="4A5DF688" w:rsidR="00241CCB" w:rsidRPr="007D75E7" w:rsidRDefault="009F5A83">
            <w:pPr>
              <w:rPr>
                <w:rFonts w:ascii="Times New Roman" w:hAnsi="Times New Roman" w:cs="Times New Roman"/>
              </w:rPr>
            </w:pPr>
            <w:r w:rsidRPr="007D75E7">
              <w:rPr>
                <w:rFonts w:ascii="Times New Roman" w:hAnsi="Times New Roman" w:cs="Times New Roman"/>
                <w:sz w:val="20"/>
              </w:rPr>
              <w:t>Clinical outcomes: annual mortality rate; annual all-cause hospitalisation; FEV1 decline; annual exacerbation rate; quality of life</w:t>
            </w:r>
            <w:r w:rsidR="00AF7F1A" w:rsidRPr="00AF7F1A">
              <w:rPr>
                <w:rFonts w:ascii="Times New Roman" w:hAnsi="Times New Roman" w:cs="Times New Roman"/>
                <w:sz w:val="20"/>
                <w:vertAlign w:val="superscript"/>
              </w:rPr>
              <w:t>+</w:t>
            </w:r>
            <w:r w:rsidRPr="007D75E7">
              <w:rPr>
                <w:rFonts w:ascii="Times New Roman" w:hAnsi="Times New Roman" w:cs="Times New Roman"/>
                <w:sz w:val="20"/>
              </w:rPr>
              <w:t>.</w:t>
            </w:r>
          </w:p>
        </w:tc>
        <w:tc>
          <w:tcPr>
            <w:tcW w:w="3312" w:type="dxa"/>
          </w:tcPr>
          <w:p w14:paraId="1E46B7CB" w14:textId="77777777" w:rsidR="00241CCB" w:rsidRPr="007D75E7" w:rsidRDefault="009F5A83">
            <w:pPr>
              <w:rPr>
                <w:rFonts w:ascii="Times New Roman" w:hAnsi="Times New Roman" w:cs="Times New Roman"/>
              </w:rPr>
            </w:pPr>
            <w:r w:rsidRPr="007D75E7">
              <w:rPr>
                <w:rFonts w:ascii="Times New Roman" w:hAnsi="Times New Roman" w:cs="Times New Roman"/>
                <w:sz w:val="20"/>
              </w:rPr>
              <w:t>Include if any eligible outcome is reported or plausibly measured. At title/abstract stage, retain uncertain outcome papers for full-text assessment rather than excluding prematurely.</w:t>
            </w:r>
          </w:p>
        </w:tc>
      </w:tr>
    </w:tbl>
    <w:p w14:paraId="594CAB82" w14:textId="12D923F7" w:rsidR="00875496" w:rsidRPr="009E4008" w:rsidRDefault="00875496" w:rsidP="009E4008">
      <w:pPr>
        <w:spacing w:line="480" w:lineRule="auto"/>
        <w:rPr>
          <w:rFonts w:ascii="Times New Roman" w:hAnsi="Times New Roman" w:cs="Times New Roman"/>
          <w:color w:val="000000"/>
        </w:rPr>
      </w:pPr>
      <w:r>
        <w:rPr>
          <w:rFonts w:ascii="Times New Roman" w:hAnsi="Times New Roman" w:cs="Times New Roman"/>
        </w:rPr>
        <w:t>*</w:t>
      </w:r>
      <w:r w:rsidRPr="009E4008">
        <w:rPr>
          <w:rFonts w:ascii="Times New Roman" w:hAnsi="Times New Roman" w:cs="Times New Roman"/>
          <w:color w:val="000000"/>
        </w:rPr>
        <w:t xml:space="preserve"> </w:t>
      </w:r>
      <w:r w:rsidRPr="009E4008">
        <w:rPr>
          <w:rFonts w:ascii="Times New Roman" w:hAnsi="Times New Roman" w:cs="Times New Roman"/>
          <w:color w:val="000000"/>
        </w:rPr>
        <w:t xml:space="preserve">For this systematic review, </w:t>
      </w:r>
      <w:r w:rsidRPr="009E4008">
        <w:rPr>
          <w:rFonts w:ascii="Times New Roman" w:hAnsi="Times New Roman" w:cs="Times New Roman"/>
          <w:color w:val="000000"/>
        </w:rPr>
        <w:t>we will include</w:t>
      </w:r>
      <w:r w:rsidRPr="009E4008">
        <w:rPr>
          <w:rFonts w:ascii="Times New Roman" w:hAnsi="Times New Roman" w:cs="Times New Roman"/>
          <w:color w:val="000000"/>
        </w:rPr>
        <w:t xml:space="preserve"> all studies which made the diagnosis of bronchiectasis based on </w:t>
      </w:r>
    </w:p>
    <w:p w14:paraId="6D5C8453" w14:textId="77777777" w:rsidR="00875496" w:rsidRPr="009E4008" w:rsidRDefault="00875496"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Clinical symptoms: cough, sputum (with/without hemoptysis), frequent lower respiratory tract infections</w:t>
      </w:r>
    </w:p>
    <w:p w14:paraId="114D45C9" w14:textId="77777777" w:rsidR="00875496" w:rsidRPr="009E4008" w:rsidRDefault="00875496"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Chest x-ray: bronchial wall thickening</w:t>
      </w:r>
    </w:p>
    <w:p w14:paraId="5C7AFD92" w14:textId="77777777" w:rsidR="00875496" w:rsidRPr="009E4008" w:rsidRDefault="00875496"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Bronchography: characteristic bronchial dilatation</w:t>
      </w:r>
    </w:p>
    <w:p w14:paraId="755EA3CD" w14:textId="77777777" w:rsidR="00875496" w:rsidRPr="009E4008" w:rsidRDefault="00875496"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CT chest +/- AI for interpretation, without parsimony for any definition of measuring bronchial diameter</w:t>
      </w:r>
    </w:p>
    <w:p w14:paraId="4ABEE08A" w14:textId="77777777" w:rsidR="00875496" w:rsidRPr="009E4008" w:rsidRDefault="00875496"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MRI: diagnosis of bronchiectasis</w:t>
      </w:r>
    </w:p>
    <w:p w14:paraId="17B8EBB9" w14:textId="77777777" w:rsidR="00875496" w:rsidRPr="009E4008" w:rsidRDefault="00875496"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ICD-9 CM and ICD-10: discharge diagnoses of bronchiectasis</w:t>
      </w:r>
    </w:p>
    <w:p w14:paraId="7DD2C320" w14:textId="0A01D1F4" w:rsidR="00264A1A" w:rsidRPr="009E4008" w:rsidRDefault="00264A1A" w:rsidP="009E4008">
      <w:pPr>
        <w:pStyle w:val="ListParagraph"/>
        <w:numPr>
          <w:ilvl w:val="0"/>
          <w:numId w:val="10"/>
        </w:numPr>
        <w:spacing w:after="160" w:line="480" w:lineRule="auto"/>
        <w:rPr>
          <w:rFonts w:ascii="Times New Roman" w:hAnsi="Times New Roman" w:cs="Times New Roman"/>
          <w:color w:val="000000"/>
        </w:rPr>
      </w:pPr>
      <w:r w:rsidRPr="009E4008">
        <w:rPr>
          <w:rFonts w:ascii="Times New Roman" w:hAnsi="Times New Roman" w:cs="Times New Roman"/>
          <w:color w:val="000000"/>
        </w:rPr>
        <w:t xml:space="preserve">Where the population is mixed, we will include at this stage all studies where </w:t>
      </w:r>
      <w:proofErr w:type="spellStart"/>
      <w:r w:rsidRPr="009E4008">
        <w:rPr>
          <w:rFonts w:ascii="Times New Roman" w:hAnsi="Times New Roman" w:cs="Times New Roman"/>
          <w:color w:val="000000"/>
        </w:rPr>
        <w:t>noncystic</w:t>
      </w:r>
      <w:proofErr w:type="spellEnd"/>
      <w:r w:rsidRPr="009E4008">
        <w:rPr>
          <w:rFonts w:ascii="Times New Roman" w:hAnsi="Times New Roman" w:cs="Times New Roman"/>
          <w:color w:val="000000"/>
        </w:rPr>
        <w:t xml:space="preserve"> fibrosis bronchiectasis is ≥ 30% of the population</w:t>
      </w:r>
    </w:p>
    <w:p w14:paraId="342336F8" w14:textId="4FC8B501" w:rsidR="00AF7F1A" w:rsidRPr="009E4008" w:rsidRDefault="00626993" w:rsidP="009E4008">
      <w:pPr>
        <w:spacing w:after="160" w:line="480" w:lineRule="auto"/>
        <w:rPr>
          <w:rFonts w:ascii="Times New Roman" w:hAnsi="Times New Roman" w:cs="Times New Roman"/>
          <w:color w:val="000000"/>
        </w:rPr>
      </w:pPr>
      <w:r w:rsidRPr="009E4008">
        <w:rPr>
          <w:rFonts w:ascii="Times New Roman" w:hAnsi="Times New Roman" w:cs="Times New Roman"/>
          <w:color w:val="000000"/>
          <w:vertAlign w:val="superscript"/>
        </w:rPr>
        <w:t>+</w:t>
      </w:r>
      <w:r w:rsidRPr="009E4008">
        <w:rPr>
          <w:rFonts w:ascii="Times New Roman" w:hAnsi="Times New Roman" w:cs="Times New Roman"/>
          <w:color w:val="000000"/>
        </w:rPr>
        <w:t xml:space="preserve"> </w:t>
      </w:r>
      <w:r w:rsidR="001B79C7" w:rsidRPr="009E4008">
        <w:rPr>
          <w:rFonts w:ascii="Times New Roman" w:hAnsi="Times New Roman" w:cs="Times New Roman"/>
          <w:color w:val="000000"/>
        </w:rPr>
        <w:t>Q</w:t>
      </w:r>
      <w:r w:rsidR="001B79C7" w:rsidRPr="009E4008">
        <w:rPr>
          <w:rFonts w:ascii="Times New Roman" w:hAnsi="Times New Roman" w:cs="Times New Roman"/>
          <w:color w:val="000000"/>
        </w:rPr>
        <w:t xml:space="preserve">uality of life </w:t>
      </w:r>
      <w:r w:rsidR="001B79C7" w:rsidRPr="009E4008">
        <w:rPr>
          <w:rFonts w:ascii="Times New Roman" w:hAnsi="Times New Roman" w:cs="Times New Roman"/>
          <w:color w:val="000000"/>
        </w:rPr>
        <w:t>is</w:t>
      </w:r>
      <w:r w:rsidR="001B79C7" w:rsidRPr="009E4008">
        <w:rPr>
          <w:rFonts w:ascii="Times New Roman" w:hAnsi="Times New Roman" w:cs="Times New Roman"/>
          <w:color w:val="000000"/>
        </w:rPr>
        <w:t xml:space="preserve"> reported in a variety of scales such as the NTM Quality of Life Score by Quittner, the St. George Respiratory Questionnaire, and the EQ-5 Dimensions</w:t>
      </w:r>
      <w:r w:rsidR="008B4F7E" w:rsidRPr="009E4008">
        <w:rPr>
          <w:rFonts w:ascii="Times New Roman" w:hAnsi="Times New Roman" w:cs="Times New Roman"/>
          <w:color w:val="000000"/>
        </w:rPr>
        <w:t xml:space="preserve">. </w:t>
      </w:r>
      <w:r w:rsidR="008B4F7E" w:rsidRPr="009E4008">
        <w:rPr>
          <w:rFonts w:ascii="Times New Roman" w:hAnsi="Times New Roman" w:cs="Times New Roman"/>
          <w:color w:val="000000"/>
        </w:rPr>
        <w:t>We will use the quality-of-life scores done at any time in point during the primary studies.</w:t>
      </w:r>
      <w:r w:rsidR="008B4F7E" w:rsidRPr="009E4008">
        <w:rPr>
          <w:rFonts w:ascii="Times New Roman" w:hAnsi="Times New Roman" w:cs="Times New Roman"/>
          <w:color w:val="000000"/>
        </w:rPr>
        <w:t xml:space="preserve"> </w:t>
      </w:r>
      <w:r w:rsidR="00680C05" w:rsidRPr="009E4008">
        <w:rPr>
          <w:rFonts w:ascii="Times New Roman" w:hAnsi="Times New Roman" w:cs="Times New Roman"/>
          <w:color w:val="000000"/>
        </w:rPr>
        <w:t xml:space="preserve">We propose to scale the data from these various instruments using the tool at </w:t>
      </w:r>
      <w:hyperlink r:id="rId6" w:history="1">
        <w:r w:rsidR="00680C05" w:rsidRPr="009E4008">
          <w:rPr>
            <w:rStyle w:val="Hyperlink"/>
            <w:rFonts w:ascii="Times New Roman" w:hAnsi="Times New Roman" w:cs="Times New Roman"/>
          </w:rPr>
          <w:t>www.common-metrics.org</w:t>
        </w:r>
      </w:hyperlink>
      <w:r w:rsidR="00680C05" w:rsidRPr="009E4008">
        <w:rPr>
          <w:rFonts w:ascii="Times New Roman" w:hAnsi="Times New Roman" w:cs="Times New Roman"/>
          <w:color w:val="000000"/>
        </w:rPr>
        <w:t xml:space="preserve"> created by Charite´ Berlin.</w:t>
      </w:r>
    </w:p>
    <w:p w14:paraId="2E0A1BD6" w14:textId="2C37C6AA" w:rsidR="00875496" w:rsidRPr="009E4008" w:rsidRDefault="00875496" w:rsidP="009E4008">
      <w:pPr>
        <w:pStyle w:val="Heading2"/>
        <w:spacing w:line="480" w:lineRule="auto"/>
        <w:rPr>
          <w:rFonts w:ascii="Times New Roman" w:hAnsi="Times New Roman" w:cs="Times New Roman"/>
          <w:sz w:val="22"/>
          <w:szCs w:val="22"/>
        </w:rPr>
      </w:pPr>
    </w:p>
    <w:p w14:paraId="6522610E" w14:textId="4751F3FD" w:rsidR="00241CCB" w:rsidRPr="009E4008" w:rsidRDefault="009F5A83" w:rsidP="009E4008">
      <w:pPr>
        <w:pStyle w:val="Heading2"/>
        <w:spacing w:line="480" w:lineRule="auto"/>
        <w:rPr>
          <w:rFonts w:ascii="Times New Roman" w:hAnsi="Times New Roman" w:cs="Times New Roman"/>
          <w:sz w:val="22"/>
          <w:szCs w:val="22"/>
        </w:rPr>
      </w:pPr>
      <w:r w:rsidRPr="009E4008">
        <w:rPr>
          <w:rFonts w:ascii="Times New Roman" w:hAnsi="Times New Roman" w:cs="Times New Roman"/>
          <w:sz w:val="22"/>
          <w:szCs w:val="22"/>
        </w:rPr>
        <w:t>Structured research question</w:t>
      </w:r>
    </w:p>
    <w:p w14:paraId="72F2535D" w14:textId="77777777" w:rsidR="00241CCB" w:rsidRPr="009E4008" w:rsidRDefault="009F5A83" w:rsidP="009E4008">
      <w:pPr>
        <w:spacing w:line="480" w:lineRule="auto"/>
        <w:rPr>
          <w:rFonts w:ascii="Times New Roman" w:hAnsi="Times New Roman" w:cs="Times New Roman"/>
        </w:rPr>
      </w:pPr>
      <w:r w:rsidRPr="009E4008">
        <w:rPr>
          <w:rFonts w:ascii="Times New Roman" w:hAnsi="Times New Roman" w:cs="Times New Roman"/>
        </w:rPr>
        <w:t xml:space="preserve">In patients with non-cystic fibrosis bronchiectasis, what are the clinical outcomes associated with co-existing primary immunodeficiency, particularly annual mortality, hospitalisation, </w:t>
      </w:r>
      <w:proofErr w:type="gramStart"/>
      <w:r w:rsidRPr="009E4008">
        <w:rPr>
          <w:rFonts w:ascii="Times New Roman" w:hAnsi="Times New Roman" w:cs="Times New Roman"/>
        </w:rPr>
        <w:t>exacerbations</w:t>
      </w:r>
      <w:proofErr w:type="gramEnd"/>
      <w:r w:rsidRPr="009E4008">
        <w:rPr>
          <w:rFonts w:ascii="Times New Roman" w:hAnsi="Times New Roman" w:cs="Times New Roman"/>
        </w:rPr>
        <w:t>, FEV1 decline, and quality of life?</w:t>
      </w:r>
    </w:p>
    <w:p w14:paraId="55750B99" w14:textId="6909244C" w:rsidR="00241CCB" w:rsidRPr="009E4008" w:rsidRDefault="009F65E9" w:rsidP="009E4008">
      <w:pPr>
        <w:pStyle w:val="Heading2"/>
        <w:spacing w:line="480" w:lineRule="auto"/>
        <w:rPr>
          <w:rFonts w:ascii="Times New Roman" w:hAnsi="Times New Roman" w:cs="Times New Roman"/>
          <w:sz w:val="22"/>
          <w:szCs w:val="22"/>
        </w:rPr>
      </w:pPr>
      <w:r w:rsidRPr="009E4008">
        <w:rPr>
          <w:rFonts w:ascii="Times New Roman" w:hAnsi="Times New Roman" w:cs="Times New Roman"/>
          <w:sz w:val="22"/>
          <w:szCs w:val="22"/>
        </w:rPr>
        <w:t>P</w:t>
      </w:r>
      <w:r w:rsidR="009F5A83" w:rsidRPr="009E4008">
        <w:rPr>
          <w:rFonts w:ascii="Times New Roman" w:hAnsi="Times New Roman" w:cs="Times New Roman"/>
          <w:sz w:val="22"/>
          <w:szCs w:val="22"/>
        </w:rPr>
        <w:t>rimary and secondary questions</w:t>
      </w:r>
    </w:p>
    <w:p w14:paraId="064ACD51" w14:textId="77777777" w:rsidR="00241CCB" w:rsidRPr="009E4008" w:rsidRDefault="009F5A83" w:rsidP="009E4008">
      <w:pPr>
        <w:spacing w:line="480" w:lineRule="auto"/>
        <w:rPr>
          <w:rFonts w:ascii="Times New Roman" w:hAnsi="Times New Roman" w:cs="Times New Roman"/>
        </w:rPr>
      </w:pPr>
      <w:r w:rsidRPr="009E4008">
        <w:rPr>
          <w:rFonts w:ascii="Times New Roman" w:hAnsi="Times New Roman" w:cs="Times New Roman"/>
        </w:rPr>
        <w:t>Primary question: What is the annual mortality rate among patients with both primary immunodeficiency and non-cystic fibrosis bronchiectasis?</w:t>
      </w:r>
    </w:p>
    <w:p w14:paraId="7EB36301" w14:textId="77777777" w:rsidR="00241CCB" w:rsidRPr="009E4008" w:rsidRDefault="009F5A83" w:rsidP="009E4008">
      <w:pPr>
        <w:spacing w:line="480" w:lineRule="auto"/>
        <w:rPr>
          <w:rFonts w:ascii="Times New Roman" w:hAnsi="Times New Roman" w:cs="Times New Roman"/>
        </w:rPr>
      </w:pPr>
      <w:r w:rsidRPr="009E4008">
        <w:rPr>
          <w:rFonts w:ascii="Times New Roman" w:hAnsi="Times New Roman" w:cs="Times New Roman"/>
        </w:rPr>
        <w:t>Secondary questions: Among patients with both primary immunodeficiency and non-cystic fibrosis bronchiectasis, what are the annual all-cause hospitalisation rate, annual exacerbation rate, FEV1 decline, and quality-of-life outcomes? Where studies include a comparator group, how do these outcomes differ from patients with non-cystic fibrosis bronchiectasis without primary immunodeficiency?</w:t>
      </w:r>
    </w:p>
    <w:p w14:paraId="42EA219D" w14:textId="77777777" w:rsidR="00241CCB" w:rsidRPr="009E4008" w:rsidRDefault="009F5A83" w:rsidP="009E4008">
      <w:pPr>
        <w:pStyle w:val="Heading2"/>
        <w:spacing w:line="480" w:lineRule="auto"/>
        <w:rPr>
          <w:rFonts w:ascii="Times New Roman" w:hAnsi="Times New Roman" w:cs="Times New Roman"/>
          <w:sz w:val="22"/>
          <w:szCs w:val="22"/>
        </w:rPr>
      </w:pPr>
      <w:r w:rsidRPr="009E4008">
        <w:rPr>
          <w:rFonts w:ascii="Times New Roman" w:hAnsi="Times New Roman" w:cs="Times New Roman"/>
          <w:sz w:val="22"/>
          <w:szCs w:val="22"/>
        </w:rPr>
        <w:t>Screening implications of the PEO</w:t>
      </w:r>
    </w:p>
    <w:p w14:paraId="2B184E71" w14:textId="77777777" w:rsidR="00241CCB" w:rsidRPr="009E4008" w:rsidRDefault="009F5A83" w:rsidP="009E4008">
      <w:pPr>
        <w:pStyle w:val="ListBullet"/>
        <w:spacing w:line="480" w:lineRule="auto"/>
        <w:rPr>
          <w:rFonts w:ascii="Times New Roman" w:hAnsi="Times New Roman" w:cs="Times New Roman"/>
        </w:rPr>
      </w:pPr>
      <w:r w:rsidRPr="009E4008">
        <w:rPr>
          <w:rFonts w:ascii="Times New Roman" w:hAnsi="Times New Roman" w:cs="Times New Roman"/>
        </w:rPr>
        <w:t>Use a deliberately inclusive approach at title/abstract stage: vote Maybe when population, exposure, or outcome cannot be confidently determined from the abstract.</w:t>
      </w:r>
    </w:p>
    <w:p w14:paraId="5E8606B0" w14:textId="77777777" w:rsidR="00241CCB" w:rsidRPr="009E4008" w:rsidRDefault="009F5A83" w:rsidP="009E4008">
      <w:pPr>
        <w:pStyle w:val="ListBullet"/>
        <w:spacing w:line="480" w:lineRule="auto"/>
        <w:rPr>
          <w:rFonts w:ascii="Times New Roman" w:hAnsi="Times New Roman" w:cs="Times New Roman"/>
        </w:rPr>
      </w:pPr>
      <w:r w:rsidRPr="009E4008">
        <w:rPr>
          <w:rFonts w:ascii="Times New Roman" w:hAnsi="Times New Roman" w:cs="Times New Roman"/>
        </w:rPr>
        <w:t>Do not exclude solely because the study design is not clearly labelled; design can be verified at full text.</w:t>
      </w:r>
    </w:p>
    <w:p w14:paraId="56BB6C45" w14:textId="77777777" w:rsidR="00241CCB" w:rsidRPr="009E4008" w:rsidRDefault="009F5A83" w:rsidP="009E4008">
      <w:pPr>
        <w:pStyle w:val="ListBullet"/>
        <w:spacing w:line="480" w:lineRule="auto"/>
        <w:rPr>
          <w:rFonts w:ascii="Times New Roman" w:hAnsi="Times New Roman" w:cs="Times New Roman"/>
        </w:rPr>
      </w:pPr>
      <w:r w:rsidRPr="009E4008">
        <w:rPr>
          <w:rFonts w:ascii="Times New Roman" w:hAnsi="Times New Roman" w:cs="Times New Roman"/>
        </w:rPr>
        <w:t>Exclude clearly irrelevant records: cystic fibrosis, pulmonary fibrosis-related bronchiectasis, animal-only studies, narrative commentaries without original outcome data, and papers not involving bronchiectasis or primary immunodeficiency.</w:t>
      </w:r>
    </w:p>
    <w:p w14:paraId="6F358734" w14:textId="77777777" w:rsidR="00241CCB" w:rsidRPr="009E4008" w:rsidRDefault="009F5A83" w:rsidP="009E4008">
      <w:pPr>
        <w:pStyle w:val="ListBullet"/>
        <w:spacing w:line="480" w:lineRule="auto"/>
        <w:rPr>
          <w:rFonts w:ascii="Times New Roman" w:hAnsi="Times New Roman" w:cs="Times New Roman"/>
        </w:rPr>
      </w:pPr>
      <w:r w:rsidRPr="009E4008">
        <w:rPr>
          <w:rFonts w:ascii="Times New Roman" w:hAnsi="Times New Roman" w:cs="Times New Roman"/>
        </w:rPr>
        <w:t>For duplicate or overlapping cohorts, retain the most complete or earliest dataset for extraction according to the preregistered rule.</w:t>
      </w:r>
    </w:p>
    <w:p w14:paraId="7390C48F" w14:textId="77777777" w:rsidR="00241CCB" w:rsidRPr="007D75E7" w:rsidRDefault="009F5A83">
      <w:pPr>
        <w:pStyle w:val="Heading1"/>
        <w:rPr>
          <w:rFonts w:ascii="Times New Roman" w:hAnsi="Times New Roman" w:cs="Times New Roman"/>
        </w:rPr>
      </w:pPr>
      <w:r w:rsidRPr="007D75E7">
        <w:rPr>
          <w:rFonts w:ascii="Times New Roman" w:hAnsi="Times New Roman" w:cs="Times New Roman"/>
        </w:rPr>
        <w:t>References</w:t>
      </w:r>
    </w:p>
    <w:p w14:paraId="13D186BB"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rPr>
        <w:t>1. Chalmers JD, Polverino E, Crichton ML, et al. Bronchiectasis in Europe: data on disease characteristics from the European Bronchiectasis Registry (EMBARC). Lancet Respir Med. 2023;11(7):637-649. doi:10.1016/S2213-2600(23)00093-0.</w:t>
      </w:r>
    </w:p>
    <w:p w14:paraId="682A733F"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rPr>
        <w:t>2. Feng J, Sun L, Sun X, et al. Increasing prevalence and burden of bronchiectasis in urban Chinese adults, 2013-2017: a nationwide population-based cohort study. Respir Res. 2022;23(1).</w:t>
      </w:r>
    </w:p>
    <w:p w14:paraId="3F942462"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rPr>
        <w:lastRenderedPageBreak/>
        <w:t>3. Aksamit TR, O'Donnell AE, Barker A, et al. Adult Patients With Bronchiectasis: A First Look at the US Bronchiectasis Research Registry. Chest. 2017;151(5):982-992. doi:10.1016/j.chest.2016.10.055.</w:t>
      </w:r>
    </w:p>
    <w:p w14:paraId="31449E0B" w14:textId="77777777" w:rsidR="00241CCB" w:rsidRPr="007D75E7" w:rsidRDefault="009F5A83">
      <w:pPr>
        <w:spacing w:after="60"/>
        <w:ind w:left="360" w:hanging="360"/>
        <w:rPr>
          <w:rFonts w:ascii="Times New Roman" w:hAnsi="Times New Roman" w:cs="Times New Roman"/>
          <w:lang w:val="it-IT"/>
        </w:rPr>
      </w:pPr>
      <w:r w:rsidRPr="007D75E7">
        <w:rPr>
          <w:rFonts w:ascii="Times New Roman" w:hAnsi="Times New Roman" w:cs="Times New Roman"/>
        </w:rPr>
        <w:t xml:space="preserve">4. Hampson FA, Chandra A, Screaton NG, et al. Respiratory disease in common variable immunodeficiency and other primary immunodeficiency disorders. </w:t>
      </w:r>
      <w:r w:rsidRPr="007D75E7">
        <w:rPr>
          <w:rFonts w:ascii="Times New Roman" w:hAnsi="Times New Roman" w:cs="Times New Roman"/>
          <w:lang w:val="it-IT"/>
        </w:rPr>
        <w:t>Clin Radiol. 2012;67:587-595.</w:t>
      </w:r>
    </w:p>
    <w:p w14:paraId="306FC8B0"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lang w:val="it-IT"/>
        </w:rPr>
        <w:t xml:space="preserve">5. Gomez-Olivas J, Oscullo G, Martinez-Garcia MA. </w:t>
      </w:r>
      <w:r w:rsidRPr="007D75E7">
        <w:rPr>
          <w:rFonts w:ascii="Times New Roman" w:hAnsi="Times New Roman" w:cs="Times New Roman"/>
        </w:rPr>
        <w:t>Etiology of bronchiectasis in the world: data from the published national and international registries. J Clin Med. 2023;12:5782.</w:t>
      </w:r>
    </w:p>
    <w:p w14:paraId="4B72E6B9"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rPr>
        <w:t>6. Goussault H, Salvator H, Catherinot E, et al. Primary immunodeficiency-related bronchiectasis in adults: comparison with bronchiectasis of other etiologies in a French reference center. Respir Res. 2019;20:275.</w:t>
      </w:r>
    </w:p>
    <w:p w14:paraId="120A186F"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rPr>
        <w:t>7. King PT, Hutchinson P, Holmes PW, et al. Assessing immune function in adult bronchiectasis. Clin Exp Immunol. 2006;144(3):440-446.</w:t>
      </w:r>
    </w:p>
    <w:p w14:paraId="285809E8" w14:textId="77777777" w:rsidR="00241CCB" w:rsidRPr="007D75E7" w:rsidRDefault="009F5A83">
      <w:pPr>
        <w:spacing w:after="60"/>
        <w:ind w:left="360" w:hanging="360"/>
        <w:rPr>
          <w:rFonts w:ascii="Times New Roman" w:hAnsi="Times New Roman" w:cs="Times New Roman"/>
        </w:rPr>
      </w:pPr>
      <w:r w:rsidRPr="007D75E7">
        <w:rPr>
          <w:rFonts w:ascii="Times New Roman" w:hAnsi="Times New Roman" w:cs="Times New Roman"/>
        </w:rPr>
        <w:t>8. Le Gal A, Marcais A, Goyard C, et al. The impact of allogeneic hematopoietic stem cell transplantation on pulmonary complications in adults with inborn errors of immunity. J Allergy Clin Immunol. 2025;156(3):825-834.</w:t>
      </w:r>
    </w:p>
    <w:p w14:paraId="5480C9DE" w14:textId="77777777" w:rsidR="00241CCB" w:rsidRDefault="009F5A83">
      <w:pPr>
        <w:spacing w:after="60"/>
        <w:ind w:left="360" w:hanging="360"/>
      </w:pPr>
      <w:r w:rsidRPr="007D75E7">
        <w:rPr>
          <w:rFonts w:ascii="Times New Roman" w:hAnsi="Times New Roman" w:cs="Times New Roman"/>
        </w:rPr>
        <w:t>9. Tsilifis C, Raedler J, Renke J, et al. Allogeneic hematopoietic stem cell transplantation for STAT3 hyper-IgE syndrome: a worldwide study. Blood Adv. 2</w:t>
      </w:r>
      <w:r>
        <w:t>025;9(16):4126-4135.</w:t>
      </w:r>
    </w:p>
    <w:sectPr w:rsidR="00241C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DA5881"/>
    <w:multiLevelType w:val="hybridMultilevel"/>
    <w:tmpl w:val="3DC4F084"/>
    <w:lvl w:ilvl="0" w:tplc="9D541A3E">
      <w:start w:val="35"/>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56198825">
    <w:abstractNumId w:val="8"/>
  </w:num>
  <w:num w:numId="2" w16cid:durableId="1378050095">
    <w:abstractNumId w:val="6"/>
  </w:num>
  <w:num w:numId="3" w16cid:durableId="840975159">
    <w:abstractNumId w:val="5"/>
  </w:num>
  <w:num w:numId="4" w16cid:durableId="1187250593">
    <w:abstractNumId w:val="4"/>
  </w:num>
  <w:num w:numId="5" w16cid:durableId="844126061">
    <w:abstractNumId w:val="7"/>
  </w:num>
  <w:num w:numId="6" w16cid:durableId="1095828406">
    <w:abstractNumId w:val="3"/>
  </w:num>
  <w:num w:numId="7" w16cid:durableId="1970670936">
    <w:abstractNumId w:val="2"/>
  </w:num>
  <w:num w:numId="8" w16cid:durableId="364452922">
    <w:abstractNumId w:val="1"/>
  </w:num>
  <w:num w:numId="9" w16cid:durableId="1153371451">
    <w:abstractNumId w:val="0"/>
  </w:num>
  <w:num w:numId="10" w16cid:durableId="1383555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2D5"/>
    <w:rsid w:val="0015074B"/>
    <w:rsid w:val="001B79C7"/>
    <w:rsid w:val="00241CCB"/>
    <w:rsid w:val="00264A1A"/>
    <w:rsid w:val="0029639D"/>
    <w:rsid w:val="00326F90"/>
    <w:rsid w:val="00626993"/>
    <w:rsid w:val="00680C05"/>
    <w:rsid w:val="007D75E7"/>
    <w:rsid w:val="00875496"/>
    <w:rsid w:val="008B4F7E"/>
    <w:rsid w:val="00917724"/>
    <w:rsid w:val="009E4008"/>
    <w:rsid w:val="009F5A83"/>
    <w:rsid w:val="009F65E9"/>
    <w:rsid w:val="00AA1D8D"/>
    <w:rsid w:val="00AF7F1A"/>
    <w:rsid w:val="00B47730"/>
    <w:rsid w:val="00CB0664"/>
    <w:rsid w:val="00DD0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3B0A8"/>
  <w14:defaultImageDpi w14:val="300"/>
  <w15:docId w15:val="{1592F7EC-32AC-4938-8ACD-4530EBB5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80C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mmon-metrics.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 G</cp:lastModifiedBy>
  <cp:revision>13</cp:revision>
  <dcterms:created xsi:type="dcterms:W3CDTF">2026-06-17T01:44:00Z</dcterms:created>
  <dcterms:modified xsi:type="dcterms:W3CDTF">2026-06-17T01:54:00Z</dcterms:modified>
  <cp:category/>
</cp:coreProperties>
</file>