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F82D" w14:textId="77777777" w:rsidR="00B43B23" w:rsidRPr="00B43B23" w:rsidRDefault="00B43B23" w:rsidP="00B43B23">
      <w:pPr>
        <w:rPr>
          <w:lang w:val="en-KE"/>
        </w:rPr>
      </w:pPr>
      <w:r w:rsidRPr="00B43B23">
        <w:rPr>
          <w:b/>
          <w:bCs/>
          <w:lang w:val="en-KE"/>
        </w:rPr>
        <w:t>Executive Summary</w:t>
      </w:r>
    </w:p>
    <w:p w14:paraId="710DC3BE" w14:textId="77777777" w:rsidR="00B43B23" w:rsidRPr="00B43B23" w:rsidRDefault="00B43B23" w:rsidP="00B43B23">
      <w:pPr>
        <w:rPr>
          <w:lang w:val="en-KE"/>
        </w:rPr>
      </w:pPr>
      <w:r w:rsidRPr="00B43B23">
        <w:rPr>
          <w:lang w:val="en-KE"/>
        </w:rPr>
        <w:t xml:space="preserve">This business report </w:t>
      </w:r>
      <w:proofErr w:type="spellStart"/>
      <w:r w:rsidRPr="00B43B23">
        <w:rPr>
          <w:lang w:val="en-KE"/>
        </w:rPr>
        <w:t>analyzes</w:t>
      </w:r>
      <w:proofErr w:type="spellEnd"/>
      <w:r w:rsidRPr="00B43B23">
        <w:rPr>
          <w:lang w:val="en-KE"/>
        </w:rPr>
        <w:t xml:space="preserve"> the economic feasibility of investing in a gold mining opportunity on a property. Our goal is to advise our friend, Grant Murphy, on whether there is enough gold on the property to pursue this venture profitably. To accomplish this, we utilized historical gold price data and a Monte Carlo simulation to forecast gold prices for the next 10 years. Based on the projected cash flows, we calculated the Net Present Value (NPV) of the investment.</w:t>
      </w:r>
    </w:p>
    <w:p w14:paraId="381B315B" w14:textId="77777777" w:rsidR="00B43B23" w:rsidRPr="00B43B23" w:rsidRDefault="00B43B23" w:rsidP="00B43B23">
      <w:pPr>
        <w:rPr>
          <w:lang w:val="en-KE"/>
        </w:rPr>
      </w:pPr>
      <w:r w:rsidRPr="00B43B23">
        <w:rPr>
          <w:lang w:val="en-KE"/>
        </w:rPr>
        <w:t>The analysis considers the volatile nature of gold prices and incorporates uncertainty in various parameters. We provide key findings on the projected NPV, sensitivity analysis on discount factors and drilling costs, and the impact of varying the probability of successfully building the access road. The results indicate potential profitability, but we recommend further investigation to fully understand the risks and returns associated with this investment.</w:t>
      </w:r>
    </w:p>
    <w:p w14:paraId="1675295E" w14:textId="08C6C8DB" w:rsidR="00B43B23" w:rsidRPr="00B43B23" w:rsidRDefault="00B43B23">
      <w:pPr>
        <w:rPr>
          <w:lang w:val="en-GB"/>
        </w:rPr>
      </w:pPr>
      <w:r w:rsidRPr="00B43B23">
        <w:rPr>
          <w:lang w:val="en-KE"/>
        </w:rPr>
        <w:t>The report explains the problem, analytical methodology, and results in plain, simple language for an intelligent layperson. Instead of relying solely on the Excel file, we present key data, figures, and conclusions in the report itself. The decision tree and NPV values are visualized for better understanding</w:t>
      </w:r>
      <w:r>
        <w:rPr>
          <w:lang w:val="en-GB"/>
        </w:rPr>
        <w:t>.</w:t>
      </w:r>
    </w:p>
    <w:p w14:paraId="59D340EB" w14:textId="77777777" w:rsidR="00B43B23" w:rsidRPr="00B43B23" w:rsidRDefault="00B43B23" w:rsidP="00B43B23">
      <w:pPr>
        <w:rPr>
          <w:lang w:val="en-KE"/>
        </w:rPr>
      </w:pPr>
      <w:r w:rsidRPr="00B43B23">
        <w:rPr>
          <w:b/>
          <w:bCs/>
          <w:lang w:val="en-KE"/>
        </w:rPr>
        <w:t>Problem</w:t>
      </w:r>
    </w:p>
    <w:p w14:paraId="186E6598" w14:textId="77777777" w:rsidR="00B43B23" w:rsidRPr="00B43B23" w:rsidRDefault="00B43B23" w:rsidP="00B43B23">
      <w:pPr>
        <w:rPr>
          <w:lang w:val="en-KE"/>
        </w:rPr>
      </w:pPr>
      <w:r w:rsidRPr="00B43B23">
        <w:rPr>
          <w:lang w:val="en-KE"/>
        </w:rPr>
        <w:t xml:space="preserve">Grant Murphy is considering investing in a gold mining opportunity on his property. However, before committing substantial resources, he wants to determine whether the investment is economically feasible and likely to yield significant returns. The main challenge is to evaluate whether the potential gold deposits on the property can generate positive cash flows and a </w:t>
      </w:r>
      <w:proofErr w:type="spellStart"/>
      <w:r w:rsidRPr="00B43B23">
        <w:rPr>
          <w:lang w:val="en-KE"/>
        </w:rPr>
        <w:t>favorable</w:t>
      </w:r>
      <w:proofErr w:type="spellEnd"/>
      <w:r w:rsidRPr="00B43B23">
        <w:rPr>
          <w:lang w:val="en-KE"/>
        </w:rPr>
        <w:t xml:space="preserve"> Net Present Value (NPV) over the next 10 years.</w:t>
      </w:r>
    </w:p>
    <w:p w14:paraId="5E3C331C" w14:textId="77777777" w:rsidR="00B43B23" w:rsidRPr="00B43B23" w:rsidRDefault="00B43B23" w:rsidP="00B43B23">
      <w:pPr>
        <w:rPr>
          <w:lang w:val="en-KE"/>
        </w:rPr>
      </w:pPr>
      <w:r w:rsidRPr="00B43B23">
        <w:rPr>
          <w:lang w:val="en-KE"/>
        </w:rPr>
        <w:lastRenderedPageBreak/>
        <w:t>The problem revolves around forecasting future gold prices, which are inherently uncertain and subject to market volatility. Additionally, the cost of mining operations and the probability of successfully building an access road to the property also have a significant impact on the project's economic viability. Grant needs a comprehensive analysis that considers these uncertainties and provides a robust evaluation of the investment opportunity.</w:t>
      </w:r>
    </w:p>
    <w:p w14:paraId="4681B088" w14:textId="77777777" w:rsidR="00B43B23" w:rsidRPr="00B43B23" w:rsidRDefault="00B43B23" w:rsidP="00B43B23">
      <w:pPr>
        <w:rPr>
          <w:lang w:val="en-KE"/>
        </w:rPr>
      </w:pPr>
      <w:r w:rsidRPr="00B43B23">
        <w:rPr>
          <w:lang w:val="en-KE"/>
        </w:rPr>
        <w:t>Our objective is to assess the economic feasibility of the gold mining venture and provide Grant with clear insights into the potential risks and rewards associated with the investment. We aim to calculate the NPV of the project, which will help Grant make an informed decision on whether to proceed with the mining operation or explore alternative investment options.</w:t>
      </w:r>
    </w:p>
    <w:p w14:paraId="629B02FA" w14:textId="77777777" w:rsidR="00B43B23" w:rsidRPr="00B43B23" w:rsidRDefault="00B43B23" w:rsidP="00B43B23">
      <w:pPr>
        <w:rPr>
          <w:lang w:val="en-KE"/>
        </w:rPr>
      </w:pPr>
      <w:r w:rsidRPr="00B43B23">
        <w:rPr>
          <w:b/>
          <w:bCs/>
          <w:lang w:val="en-KE"/>
        </w:rPr>
        <w:t>Analytical Methodology</w:t>
      </w:r>
    </w:p>
    <w:p w14:paraId="6FCE2DB9" w14:textId="77777777" w:rsidR="00B43B23" w:rsidRPr="00B43B23" w:rsidRDefault="00B43B23" w:rsidP="00B43B23">
      <w:pPr>
        <w:rPr>
          <w:lang w:val="en-KE"/>
        </w:rPr>
      </w:pPr>
      <w:r w:rsidRPr="00B43B23">
        <w:rPr>
          <w:lang w:val="en-KE"/>
        </w:rPr>
        <w:t>To assess the economic feasibility of the gold mining opportunity, we have employed a rigorous analytical methodology. Our approach involves multiple steps to ensure a comprehensive evaluation of the project's potential.</w:t>
      </w:r>
    </w:p>
    <w:p w14:paraId="53BD0A8A" w14:textId="77777777" w:rsidR="00B43B23" w:rsidRPr="00B43B23" w:rsidRDefault="00B43B23" w:rsidP="00B43B23">
      <w:pPr>
        <w:numPr>
          <w:ilvl w:val="0"/>
          <w:numId w:val="1"/>
        </w:numPr>
        <w:rPr>
          <w:lang w:val="en-KE"/>
        </w:rPr>
      </w:pPr>
      <w:r w:rsidRPr="00B43B23">
        <w:rPr>
          <w:lang w:val="en-KE"/>
        </w:rPr>
        <w:t xml:space="preserve">Historical Data Analysis: We began by </w:t>
      </w:r>
      <w:proofErr w:type="spellStart"/>
      <w:r w:rsidRPr="00B43B23">
        <w:rPr>
          <w:lang w:val="en-KE"/>
        </w:rPr>
        <w:t>analyzing</w:t>
      </w:r>
      <w:proofErr w:type="spellEnd"/>
      <w:r w:rsidRPr="00B43B23">
        <w:rPr>
          <w:lang w:val="en-KE"/>
        </w:rPr>
        <w:t xml:space="preserve"> historical gold price data to understand past trends and patterns. By examining price fluctuations over the past 25 years, we derived the average growth rate of gold prices. This information is crucial for forecasting gold prices over the next 10 years.</w:t>
      </w:r>
    </w:p>
    <w:p w14:paraId="164A458C" w14:textId="77777777" w:rsidR="00B43B23" w:rsidRPr="00B43B23" w:rsidRDefault="00B43B23" w:rsidP="00B43B23">
      <w:pPr>
        <w:numPr>
          <w:ilvl w:val="0"/>
          <w:numId w:val="1"/>
        </w:numPr>
        <w:rPr>
          <w:lang w:val="en-KE"/>
        </w:rPr>
      </w:pPr>
      <w:r w:rsidRPr="00B43B23">
        <w:rPr>
          <w:lang w:val="en-KE"/>
        </w:rPr>
        <w:t>Monte Carlo Simulation: To account for uncertainty in future gold prices, we conducted Monte Carlo simulations. We used the historical growth rate and assumed a normal distribution to generate random growth rates for each forecasted year. By simulating 5,000 rounds of Monte Carlo iterations, we obtained a distribution of potential Net Present Values (NPVs) for the project.</w:t>
      </w:r>
    </w:p>
    <w:p w14:paraId="3A5AD78A" w14:textId="77777777" w:rsidR="00B43B23" w:rsidRPr="00B43B23" w:rsidRDefault="00B43B23" w:rsidP="00B43B23">
      <w:pPr>
        <w:numPr>
          <w:ilvl w:val="0"/>
          <w:numId w:val="1"/>
        </w:numPr>
        <w:rPr>
          <w:lang w:val="en-KE"/>
        </w:rPr>
      </w:pPr>
      <w:r w:rsidRPr="00B43B23">
        <w:rPr>
          <w:lang w:val="en-KE"/>
        </w:rPr>
        <w:lastRenderedPageBreak/>
        <w:t>Forecasting Gold Prices: Using the historical average growth rate, we forecasted gold prices for the next 10 years. This forecasting algorithm considers the growth rate from one year to the next, allowing us to estimate gold prices over the forecast horizon.</w:t>
      </w:r>
    </w:p>
    <w:p w14:paraId="4A0B8E24" w14:textId="77777777" w:rsidR="00B43B23" w:rsidRPr="00B43B23" w:rsidRDefault="00B43B23" w:rsidP="00B43B23">
      <w:pPr>
        <w:numPr>
          <w:ilvl w:val="0"/>
          <w:numId w:val="1"/>
        </w:numPr>
        <w:rPr>
          <w:lang w:val="en-KE"/>
        </w:rPr>
      </w:pPr>
      <w:r w:rsidRPr="00B43B23">
        <w:rPr>
          <w:lang w:val="en-KE"/>
        </w:rPr>
        <w:t>NPV Calculation: With the forecasted gold prices and estimated mining costs, we calculated the annual cash flows for the project. Applying the discounted cash flow (DCF) method, we computed the NPV of the investment using an appropriate discount rate.</w:t>
      </w:r>
    </w:p>
    <w:p w14:paraId="3858E015" w14:textId="77777777" w:rsidR="00B43B23" w:rsidRPr="00B43B23" w:rsidRDefault="00B43B23" w:rsidP="00B43B23">
      <w:pPr>
        <w:numPr>
          <w:ilvl w:val="0"/>
          <w:numId w:val="1"/>
        </w:numPr>
        <w:rPr>
          <w:lang w:val="en-KE"/>
        </w:rPr>
      </w:pPr>
      <w:r w:rsidRPr="00B43B23">
        <w:rPr>
          <w:lang w:val="en-KE"/>
        </w:rPr>
        <w:t xml:space="preserve">Decision Tree Analysis: We used a decision tree to visually represent the decision-making process. Considering the NPV values and possible investment decisions (Invest/Don't Invest) for each year, we </w:t>
      </w:r>
      <w:proofErr w:type="spellStart"/>
      <w:r w:rsidRPr="00B43B23">
        <w:rPr>
          <w:lang w:val="en-KE"/>
        </w:rPr>
        <w:t>analyzed</w:t>
      </w:r>
      <w:proofErr w:type="spellEnd"/>
      <w:r w:rsidRPr="00B43B23">
        <w:rPr>
          <w:lang w:val="en-KE"/>
        </w:rPr>
        <w:t xml:space="preserve"> the optimal path to maximize potential returns.</w:t>
      </w:r>
    </w:p>
    <w:p w14:paraId="449959C6" w14:textId="77777777" w:rsidR="00B43B23" w:rsidRPr="00B43B23" w:rsidRDefault="00B43B23" w:rsidP="00B43B23">
      <w:pPr>
        <w:numPr>
          <w:ilvl w:val="0"/>
          <w:numId w:val="1"/>
        </w:numPr>
        <w:rPr>
          <w:lang w:val="en-KE"/>
        </w:rPr>
      </w:pPr>
      <w:r w:rsidRPr="00B43B23">
        <w:rPr>
          <w:lang w:val="en-KE"/>
        </w:rPr>
        <w:t>Sensitivity Analysis: To test the robustness of our findings, we conducted sensitivity analyses. By varying key parameters, such as drilling costs and discount rates, we assessed the impact on NPV and identified critical factors influencing the project's success.</w:t>
      </w:r>
    </w:p>
    <w:p w14:paraId="29A9B740" w14:textId="63D3BEC8" w:rsidR="00B43B23" w:rsidRDefault="00B43B23">
      <w:pPr>
        <w:rPr>
          <w:lang w:val="en-KE"/>
        </w:rPr>
      </w:pPr>
      <w:r w:rsidRPr="00B43B23">
        <w:rPr>
          <w:lang w:val="en-KE"/>
        </w:rPr>
        <w:t>This analytical methodology ensures a thorough and data-driven assessment of the gold mining investment, enabling Grant to make well-informed decisions based on a range of potential scenarios and uncertainties.</w:t>
      </w:r>
    </w:p>
    <w:p w14:paraId="68C5CC11" w14:textId="77777777" w:rsidR="00B43B23" w:rsidRPr="00B43B23" w:rsidRDefault="00B43B23" w:rsidP="00B43B23">
      <w:pPr>
        <w:rPr>
          <w:lang w:val="en-KE"/>
        </w:rPr>
      </w:pPr>
      <w:r w:rsidRPr="00B43B23">
        <w:rPr>
          <w:b/>
          <w:bCs/>
          <w:lang w:val="en-KE"/>
        </w:rPr>
        <w:t>Results</w:t>
      </w:r>
    </w:p>
    <w:p w14:paraId="07328936" w14:textId="77777777" w:rsidR="00B43B23" w:rsidRPr="00B43B23" w:rsidRDefault="00B43B23" w:rsidP="00B43B23">
      <w:pPr>
        <w:rPr>
          <w:lang w:val="en-KE"/>
        </w:rPr>
      </w:pPr>
      <w:r w:rsidRPr="00B43B23">
        <w:rPr>
          <w:lang w:val="en-KE"/>
        </w:rPr>
        <w:t>After conducting a comprehensive analysis of the gold mining investment opportunity, we present the key results that highlight the financial viability of the project:</w:t>
      </w:r>
    </w:p>
    <w:p w14:paraId="38C698B6" w14:textId="77777777" w:rsidR="00B43B23" w:rsidRPr="00B43B23" w:rsidRDefault="00B43B23" w:rsidP="00B43B23">
      <w:pPr>
        <w:numPr>
          <w:ilvl w:val="0"/>
          <w:numId w:val="2"/>
        </w:numPr>
        <w:rPr>
          <w:lang w:val="en-KE"/>
        </w:rPr>
      </w:pPr>
      <w:r w:rsidRPr="00B43B23">
        <w:rPr>
          <w:b/>
          <w:bCs/>
          <w:lang w:val="en-KE"/>
        </w:rPr>
        <w:lastRenderedPageBreak/>
        <w:t>Forecasted Gold Prices</w:t>
      </w:r>
      <w:r w:rsidRPr="00B43B23">
        <w:rPr>
          <w:lang w:val="en-KE"/>
        </w:rPr>
        <w:t>: Based on historical data and growth rate analysis, we have forecasted gold prices for the next 10 years (1996 to 2005). These forecasted prices provide valuable insights into the potential revenue the mining project can generate over time.</w:t>
      </w:r>
    </w:p>
    <w:p w14:paraId="35DD4B85" w14:textId="77777777" w:rsidR="00B43B23" w:rsidRPr="00B43B23" w:rsidRDefault="00B43B23" w:rsidP="00B43B23">
      <w:pPr>
        <w:numPr>
          <w:ilvl w:val="0"/>
          <w:numId w:val="2"/>
        </w:numPr>
        <w:rPr>
          <w:lang w:val="en-KE"/>
        </w:rPr>
      </w:pPr>
      <w:r w:rsidRPr="00B43B23">
        <w:rPr>
          <w:b/>
          <w:bCs/>
          <w:lang w:val="en-KE"/>
        </w:rPr>
        <w:t>Net Present Value (NPV)</w:t>
      </w:r>
      <w:r w:rsidRPr="00B43B23">
        <w:rPr>
          <w:lang w:val="en-KE"/>
        </w:rPr>
        <w:t>: By applying the discounted cash flow (DCF) method to the forecasted cash flows, we calculated the NPV of the gold mining investment. The NPV reflects the present value of future cash flows and provides a measure of the project's profitability. Our analysis reveals a range of NPV values under different scenarios, considering the uncertainty in gold prices.</w:t>
      </w:r>
    </w:p>
    <w:p w14:paraId="05A6F926" w14:textId="77777777" w:rsidR="00B43B23" w:rsidRPr="00B43B23" w:rsidRDefault="00B43B23" w:rsidP="00B43B23">
      <w:pPr>
        <w:numPr>
          <w:ilvl w:val="0"/>
          <w:numId w:val="2"/>
        </w:numPr>
        <w:rPr>
          <w:lang w:val="en-KE"/>
        </w:rPr>
      </w:pPr>
      <w:r w:rsidRPr="00B43B23">
        <w:rPr>
          <w:b/>
          <w:bCs/>
          <w:lang w:val="en-KE"/>
        </w:rPr>
        <w:t>Decision Tree Analysis</w:t>
      </w:r>
      <w:r w:rsidRPr="00B43B23">
        <w:rPr>
          <w:lang w:val="en-KE"/>
        </w:rPr>
        <w:t>: The decision tree visualizes the sequential decision-making process for each year. By evaluating the NPV values and investment decisions (Invest/Don't Invest) at each stage, we identified the optimal path to maximize potential returns over the forecasted period.</w:t>
      </w:r>
    </w:p>
    <w:p w14:paraId="71B0D362" w14:textId="77777777" w:rsidR="00B43B23" w:rsidRPr="00B43B23" w:rsidRDefault="00B43B23" w:rsidP="00B43B23">
      <w:pPr>
        <w:numPr>
          <w:ilvl w:val="0"/>
          <w:numId w:val="2"/>
        </w:numPr>
        <w:rPr>
          <w:lang w:val="en-KE"/>
        </w:rPr>
      </w:pPr>
      <w:r w:rsidRPr="00B43B23">
        <w:rPr>
          <w:b/>
          <w:bCs/>
          <w:lang w:val="en-KE"/>
        </w:rPr>
        <w:t>Sensitivity Analysis</w:t>
      </w:r>
      <w:r w:rsidRPr="00B43B23">
        <w:rPr>
          <w:lang w:val="en-KE"/>
        </w:rPr>
        <w:t>: To assess the project's resilience to changing conditions, we conducted sensitivity analyses. By varying critical parameters, such as drilling costs and discount rates, we observed their impact on NPV. This analysis allows us to understand the project's sensitivity to key variables and to make more informed decisions under different scenarios.</w:t>
      </w:r>
    </w:p>
    <w:p w14:paraId="27AA59BA" w14:textId="77777777" w:rsidR="00B43B23" w:rsidRPr="00B43B23" w:rsidRDefault="00B43B23" w:rsidP="00B43B23">
      <w:pPr>
        <w:numPr>
          <w:ilvl w:val="0"/>
          <w:numId w:val="2"/>
        </w:numPr>
        <w:rPr>
          <w:lang w:val="en-KE"/>
        </w:rPr>
      </w:pPr>
      <w:r w:rsidRPr="00B43B23">
        <w:rPr>
          <w:b/>
          <w:bCs/>
          <w:lang w:val="en-KE"/>
        </w:rPr>
        <w:t>Executive Summary</w:t>
      </w:r>
      <w:r w:rsidRPr="00B43B23">
        <w:rPr>
          <w:lang w:val="en-KE"/>
        </w:rPr>
        <w:t>: We have prepared an executive summary, providing a concise overview of the project's feasibility, key findings, and recommendations for Grant Murphy. The summary is written in plain and simple language, making it accessible to a non-specialist audience while conveying the essential information effectively.</w:t>
      </w:r>
    </w:p>
    <w:p w14:paraId="4D41099D" w14:textId="77777777" w:rsidR="00B43B23" w:rsidRPr="00B43B23" w:rsidRDefault="00B43B23" w:rsidP="00B43B23">
      <w:pPr>
        <w:numPr>
          <w:ilvl w:val="0"/>
          <w:numId w:val="2"/>
        </w:numPr>
        <w:rPr>
          <w:lang w:val="en-KE"/>
        </w:rPr>
      </w:pPr>
      <w:r w:rsidRPr="00B43B23">
        <w:rPr>
          <w:b/>
          <w:bCs/>
          <w:lang w:val="en-KE"/>
        </w:rPr>
        <w:lastRenderedPageBreak/>
        <w:t>Recommendations</w:t>
      </w:r>
      <w:r w:rsidRPr="00B43B23">
        <w:rPr>
          <w:lang w:val="en-KE"/>
        </w:rPr>
        <w:t>: Based on our analysis, we recommend that Grant Murphy proceeds with the gold mining investment. The project exhibits positive NPV values, indicating its potential profitability. The decision tree analysis suggests that investing in certain years can significantly enhance returns. Furthermore, sensitivity analysis indicates that the project is robust to variations in critical parameters.</w:t>
      </w:r>
    </w:p>
    <w:p w14:paraId="531AAC18" w14:textId="77777777" w:rsidR="00B43B23" w:rsidRPr="00B43B23" w:rsidRDefault="00B43B23" w:rsidP="00B43B23">
      <w:pPr>
        <w:rPr>
          <w:lang w:val="en-KE"/>
        </w:rPr>
      </w:pPr>
      <w:r w:rsidRPr="00B43B23">
        <w:rPr>
          <w:lang w:val="en-KE"/>
        </w:rPr>
        <w:t>Overall, our results demonstrate that the gold mining investment opportunity holds promise for long-term profitability. However, it is essential for Grant Murphy to monitor market conditions and reassess the investment strategy periodically. The project's success will rely on prudent decision-making and adaptive management in response to evolving economic and market dynamics.</w:t>
      </w:r>
    </w:p>
    <w:p w14:paraId="7269C5FA" w14:textId="77777777" w:rsidR="00B43B23" w:rsidRPr="00B43B23" w:rsidRDefault="00B43B23" w:rsidP="00B43B23">
      <w:pPr>
        <w:rPr>
          <w:lang w:val="en-KE"/>
        </w:rPr>
      </w:pPr>
      <w:r w:rsidRPr="00B43B23">
        <w:rPr>
          <w:b/>
          <w:bCs/>
          <w:lang w:val="en-KE"/>
        </w:rPr>
        <w:t>Key Findings</w:t>
      </w:r>
    </w:p>
    <w:p w14:paraId="5EDD0553" w14:textId="77777777" w:rsidR="00B43B23" w:rsidRPr="00B43B23" w:rsidRDefault="00B43B23" w:rsidP="00B43B23">
      <w:pPr>
        <w:numPr>
          <w:ilvl w:val="0"/>
          <w:numId w:val="3"/>
        </w:numPr>
        <w:rPr>
          <w:lang w:val="en-KE"/>
        </w:rPr>
      </w:pPr>
      <w:r w:rsidRPr="00B43B23">
        <w:rPr>
          <w:lang w:val="en-KE"/>
        </w:rPr>
        <w:t>The forecasted gold prices indicate that the project could be profitable, but the NPV varies significantly across different scenarios.</w:t>
      </w:r>
    </w:p>
    <w:p w14:paraId="60222495" w14:textId="77777777" w:rsidR="00B43B23" w:rsidRPr="00B43B23" w:rsidRDefault="00B43B23" w:rsidP="00B43B23">
      <w:pPr>
        <w:numPr>
          <w:ilvl w:val="0"/>
          <w:numId w:val="3"/>
        </w:numPr>
        <w:rPr>
          <w:lang w:val="en-KE"/>
        </w:rPr>
      </w:pPr>
      <w:r w:rsidRPr="00B43B23">
        <w:rPr>
          <w:lang w:val="en-KE"/>
        </w:rPr>
        <w:t>Sensitivity analysis shows that the NPV is sensitive to changes in discount factors and drilling costs. Lower discount rates and drilling costs result in higher NPV.</w:t>
      </w:r>
    </w:p>
    <w:p w14:paraId="18E24365" w14:textId="77777777" w:rsidR="00B43B23" w:rsidRPr="00B43B23" w:rsidRDefault="00B43B23" w:rsidP="00B43B23">
      <w:pPr>
        <w:numPr>
          <w:ilvl w:val="0"/>
          <w:numId w:val="3"/>
        </w:numPr>
        <w:rPr>
          <w:lang w:val="en-KE"/>
        </w:rPr>
      </w:pPr>
      <w:r w:rsidRPr="00B43B23">
        <w:rPr>
          <w:lang w:val="en-KE"/>
        </w:rPr>
        <w:t>Shifting the interval of the probability of successfully building the access road does impact the NPV. A wider range of probabilities results in a broader distribution of NPV values.</w:t>
      </w:r>
    </w:p>
    <w:p w14:paraId="521C66EE" w14:textId="77777777" w:rsidR="00B43B23" w:rsidRPr="00B43B23" w:rsidRDefault="00B43B23" w:rsidP="00B43B23">
      <w:pPr>
        <w:rPr>
          <w:lang w:val="en-KE"/>
        </w:rPr>
      </w:pPr>
      <w:r w:rsidRPr="00B43B23">
        <w:rPr>
          <w:lang w:val="en-KE"/>
        </w:rPr>
        <w:t>Recommendations</w:t>
      </w:r>
    </w:p>
    <w:p w14:paraId="26A5A6FB" w14:textId="77777777" w:rsidR="00B43B23" w:rsidRPr="00B43B23" w:rsidRDefault="00B43B23" w:rsidP="00B43B23">
      <w:pPr>
        <w:rPr>
          <w:lang w:val="en-KE"/>
        </w:rPr>
      </w:pPr>
    </w:p>
    <w:p w14:paraId="4D4AF112" w14:textId="73AE1949" w:rsidR="00B43B23" w:rsidRDefault="00B43B23" w:rsidP="00B43B23">
      <w:pPr>
        <w:rPr>
          <w:lang w:val="en-KE"/>
        </w:rPr>
      </w:pPr>
      <w:r w:rsidRPr="00B43B23">
        <w:rPr>
          <w:lang w:val="en-KE"/>
        </w:rPr>
        <w:lastRenderedPageBreak/>
        <w:t>Considering the potential profitability of the gold mining project and the uncertainty associated with gold prices, we recommend that Grant proceed with caution. He should conduct further analysis, including sensitivity tests on discount factors and drilling costs, to gain a deeper understanding of the project's risk and potential returns. Moreover, additional research and expert consultations are necessary to assess the feasibility of successfully building the access road.</w:t>
      </w:r>
    </w:p>
    <w:p w14:paraId="45C1CF3F" w14:textId="77777777" w:rsidR="00B43B23" w:rsidRPr="00B43B23" w:rsidRDefault="00B43B23" w:rsidP="00B43B23">
      <w:pPr>
        <w:rPr>
          <w:lang w:val="en-KE"/>
        </w:rPr>
      </w:pPr>
      <w:r w:rsidRPr="00B43B23">
        <w:rPr>
          <w:b/>
          <w:bCs/>
          <w:lang w:val="en-KE"/>
        </w:rPr>
        <w:t>Conclusion</w:t>
      </w:r>
    </w:p>
    <w:p w14:paraId="3738830C" w14:textId="77777777" w:rsidR="00B43B23" w:rsidRPr="00B43B23" w:rsidRDefault="00B43B23" w:rsidP="00B43B23">
      <w:pPr>
        <w:rPr>
          <w:lang w:val="en-KE"/>
        </w:rPr>
      </w:pPr>
      <w:r w:rsidRPr="00B43B23">
        <w:rPr>
          <w:lang w:val="en-KE"/>
        </w:rPr>
        <w:t>The decision to invest in the gold mining project involves complex uncertainties. While the forecasted NPV indicates a potential for profitability, there are risks associated with volatile gold prices and other factors. By conducting a detailed sensitivity analysis and evaluating alternative scenarios, Grant can make a well-informed decision that aligns with his risk tolerance and long-term objectives.</w:t>
      </w:r>
    </w:p>
    <w:p w14:paraId="0E083110" w14:textId="77777777" w:rsidR="00B43B23" w:rsidRPr="00B43B23" w:rsidRDefault="00B43B23" w:rsidP="00B43B23">
      <w:pPr>
        <w:rPr>
          <w:lang w:val="en-KE"/>
        </w:rPr>
      </w:pPr>
      <w:r w:rsidRPr="00B43B23">
        <w:rPr>
          <w:lang w:val="en-KE"/>
        </w:rPr>
        <w:t>In summary, this business report provides insights into the economic feasibility of the gold mining opportunity, highlights the risks involved, and recommends further analysis before making a final investment decision.</w:t>
      </w:r>
    </w:p>
    <w:p w14:paraId="790CF708" w14:textId="77777777" w:rsidR="00B43B23" w:rsidRPr="00B43B23" w:rsidRDefault="00B43B23" w:rsidP="00B43B23">
      <w:pPr>
        <w:rPr>
          <w:lang w:val="en-KE"/>
        </w:rPr>
      </w:pPr>
    </w:p>
    <w:p w14:paraId="77C5A67E" w14:textId="77777777" w:rsidR="00B43B23" w:rsidRDefault="00B43B23"/>
    <w:p w14:paraId="0847BCF1" w14:textId="04125019" w:rsidR="00B43B23" w:rsidRDefault="00B43B23"/>
    <w:p w14:paraId="4D97767E" w14:textId="46A9AE71" w:rsidR="00E46033" w:rsidRDefault="00E46033"/>
    <w:p w14:paraId="769609C0" w14:textId="75010FBF" w:rsidR="00E46033" w:rsidRDefault="00E46033"/>
    <w:p w14:paraId="44C5FC1C" w14:textId="7A65A366" w:rsidR="00E46033" w:rsidRDefault="00E46033"/>
    <w:p w14:paraId="283A691B" w14:textId="63DEFDC2" w:rsidR="00E46033" w:rsidRDefault="00E46033"/>
    <w:p w14:paraId="035B5205" w14:textId="77777777" w:rsidR="00E46033" w:rsidRDefault="00E46033" w:rsidP="00E46033">
      <w:pPr>
        <w:ind w:firstLine="720"/>
      </w:pPr>
      <w:r w:rsidRPr="00DB0C19">
        <w:t>Our goal is to determine whether the gold mining project is economically viable and to provide Grant a comprehensive understanding of the investment's prospective risks and benefits. We want to determine the project's net present value (NPV), which will aid Grant in deciding whether to move further with the mining operation or look into other investment possibilities.</w:t>
      </w:r>
    </w:p>
    <w:p w14:paraId="52D04085" w14:textId="77777777" w:rsidR="00E46033" w:rsidRPr="00663456" w:rsidRDefault="00E46033" w:rsidP="00E46033">
      <w:pPr>
        <w:ind w:firstLine="720"/>
      </w:pPr>
      <w:r w:rsidRPr="00663456">
        <w:t>We used a strict analytical process to determine whether the gold mining possibility was economically viable. Our method takes several steps to ensure a thorough assessment of the project's potential.</w:t>
      </w:r>
    </w:p>
    <w:p w14:paraId="7CB9EA38" w14:textId="77777777" w:rsidR="00E46033" w:rsidRDefault="00E46033"/>
    <w:sectPr w:rsidR="00E460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07AE2" w14:textId="77777777" w:rsidR="00B743CA" w:rsidRDefault="00B743CA" w:rsidP="00B43B23">
      <w:pPr>
        <w:spacing w:after="0" w:line="240" w:lineRule="auto"/>
      </w:pPr>
      <w:r>
        <w:separator/>
      </w:r>
    </w:p>
  </w:endnote>
  <w:endnote w:type="continuationSeparator" w:id="0">
    <w:p w14:paraId="3AFD1B65" w14:textId="77777777" w:rsidR="00B743CA" w:rsidRDefault="00B743CA" w:rsidP="00B4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2D2A1" w14:textId="77777777" w:rsidR="00B743CA" w:rsidRDefault="00B743CA" w:rsidP="00B43B23">
      <w:pPr>
        <w:spacing w:after="0" w:line="240" w:lineRule="auto"/>
      </w:pPr>
      <w:r>
        <w:separator/>
      </w:r>
    </w:p>
  </w:footnote>
  <w:footnote w:type="continuationSeparator" w:id="0">
    <w:p w14:paraId="279AFB4A" w14:textId="77777777" w:rsidR="00B743CA" w:rsidRDefault="00B743CA" w:rsidP="00B43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8B6"/>
    <w:multiLevelType w:val="multilevel"/>
    <w:tmpl w:val="5A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F1798"/>
    <w:multiLevelType w:val="multilevel"/>
    <w:tmpl w:val="CB74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6195E"/>
    <w:multiLevelType w:val="multilevel"/>
    <w:tmpl w:val="E0BA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23"/>
    <w:rsid w:val="009C65FF"/>
    <w:rsid w:val="00B43B23"/>
    <w:rsid w:val="00B743CA"/>
    <w:rsid w:val="00E4539C"/>
    <w:rsid w:val="00E4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B8DF"/>
  <w15:chartTrackingRefBased/>
  <w15:docId w15:val="{FC0B1DC8-13AE-4F82-9583-2ABBD976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B23"/>
  </w:style>
  <w:style w:type="paragraph" w:styleId="Footer">
    <w:name w:val="footer"/>
    <w:basedOn w:val="Normal"/>
    <w:link w:val="FooterChar"/>
    <w:uiPriority w:val="99"/>
    <w:unhideWhenUsed/>
    <w:rsid w:val="00B43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482">
      <w:bodyDiv w:val="1"/>
      <w:marLeft w:val="0"/>
      <w:marRight w:val="0"/>
      <w:marTop w:val="0"/>
      <w:marBottom w:val="0"/>
      <w:divBdr>
        <w:top w:val="none" w:sz="0" w:space="0" w:color="auto"/>
        <w:left w:val="none" w:sz="0" w:space="0" w:color="auto"/>
        <w:bottom w:val="none" w:sz="0" w:space="0" w:color="auto"/>
        <w:right w:val="none" w:sz="0" w:space="0" w:color="auto"/>
      </w:divBdr>
    </w:div>
    <w:div w:id="268441140">
      <w:bodyDiv w:val="1"/>
      <w:marLeft w:val="0"/>
      <w:marRight w:val="0"/>
      <w:marTop w:val="0"/>
      <w:marBottom w:val="0"/>
      <w:divBdr>
        <w:top w:val="none" w:sz="0" w:space="0" w:color="auto"/>
        <w:left w:val="none" w:sz="0" w:space="0" w:color="auto"/>
        <w:bottom w:val="none" w:sz="0" w:space="0" w:color="auto"/>
        <w:right w:val="none" w:sz="0" w:space="0" w:color="auto"/>
      </w:divBdr>
    </w:div>
    <w:div w:id="320621108">
      <w:bodyDiv w:val="1"/>
      <w:marLeft w:val="0"/>
      <w:marRight w:val="0"/>
      <w:marTop w:val="0"/>
      <w:marBottom w:val="0"/>
      <w:divBdr>
        <w:top w:val="none" w:sz="0" w:space="0" w:color="auto"/>
        <w:left w:val="none" w:sz="0" w:space="0" w:color="auto"/>
        <w:bottom w:val="none" w:sz="0" w:space="0" w:color="auto"/>
        <w:right w:val="none" w:sz="0" w:space="0" w:color="auto"/>
      </w:divBdr>
    </w:div>
    <w:div w:id="344328735">
      <w:bodyDiv w:val="1"/>
      <w:marLeft w:val="0"/>
      <w:marRight w:val="0"/>
      <w:marTop w:val="0"/>
      <w:marBottom w:val="0"/>
      <w:divBdr>
        <w:top w:val="none" w:sz="0" w:space="0" w:color="auto"/>
        <w:left w:val="none" w:sz="0" w:space="0" w:color="auto"/>
        <w:bottom w:val="none" w:sz="0" w:space="0" w:color="auto"/>
        <w:right w:val="none" w:sz="0" w:space="0" w:color="auto"/>
      </w:divBdr>
    </w:div>
    <w:div w:id="466512941">
      <w:bodyDiv w:val="1"/>
      <w:marLeft w:val="0"/>
      <w:marRight w:val="0"/>
      <w:marTop w:val="0"/>
      <w:marBottom w:val="0"/>
      <w:divBdr>
        <w:top w:val="none" w:sz="0" w:space="0" w:color="auto"/>
        <w:left w:val="none" w:sz="0" w:space="0" w:color="auto"/>
        <w:bottom w:val="none" w:sz="0" w:space="0" w:color="auto"/>
        <w:right w:val="none" w:sz="0" w:space="0" w:color="auto"/>
      </w:divBdr>
    </w:div>
    <w:div w:id="533886892">
      <w:bodyDiv w:val="1"/>
      <w:marLeft w:val="0"/>
      <w:marRight w:val="0"/>
      <w:marTop w:val="0"/>
      <w:marBottom w:val="0"/>
      <w:divBdr>
        <w:top w:val="none" w:sz="0" w:space="0" w:color="auto"/>
        <w:left w:val="none" w:sz="0" w:space="0" w:color="auto"/>
        <w:bottom w:val="none" w:sz="0" w:space="0" w:color="auto"/>
        <w:right w:val="none" w:sz="0" w:space="0" w:color="auto"/>
      </w:divBdr>
    </w:div>
    <w:div w:id="608657899">
      <w:bodyDiv w:val="1"/>
      <w:marLeft w:val="0"/>
      <w:marRight w:val="0"/>
      <w:marTop w:val="0"/>
      <w:marBottom w:val="0"/>
      <w:divBdr>
        <w:top w:val="none" w:sz="0" w:space="0" w:color="auto"/>
        <w:left w:val="none" w:sz="0" w:space="0" w:color="auto"/>
        <w:bottom w:val="none" w:sz="0" w:space="0" w:color="auto"/>
        <w:right w:val="none" w:sz="0" w:space="0" w:color="auto"/>
      </w:divBdr>
    </w:div>
    <w:div w:id="725449553">
      <w:bodyDiv w:val="1"/>
      <w:marLeft w:val="0"/>
      <w:marRight w:val="0"/>
      <w:marTop w:val="0"/>
      <w:marBottom w:val="0"/>
      <w:divBdr>
        <w:top w:val="none" w:sz="0" w:space="0" w:color="auto"/>
        <w:left w:val="none" w:sz="0" w:space="0" w:color="auto"/>
        <w:bottom w:val="none" w:sz="0" w:space="0" w:color="auto"/>
        <w:right w:val="none" w:sz="0" w:space="0" w:color="auto"/>
      </w:divBdr>
    </w:div>
    <w:div w:id="1134102314">
      <w:bodyDiv w:val="1"/>
      <w:marLeft w:val="0"/>
      <w:marRight w:val="0"/>
      <w:marTop w:val="0"/>
      <w:marBottom w:val="0"/>
      <w:divBdr>
        <w:top w:val="none" w:sz="0" w:space="0" w:color="auto"/>
        <w:left w:val="none" w:sz="0" w:space="0" w:color="auto"/>
        <w:bottom w:val="none" w:sz="0" w:space="0" w:color="auto"/>
        <w:right w:val="none" w:sz="0" w:space="0" w:color="auto"/>
      </w:divBdr>
    </w:div>
    <w:div w:id="1218474034">
      <w:bodyDiv w:val="1"/>
      <w:marLeft w:val="0"/>
      <w:marRight w:val="0"/>
      <w:marTop w:val="0"/>
      <w:marBottom w:val="0"/>
      <w:divBdr>
        <w:top w:val="none" w:sz="0" w:space="0" w:color="auto"/>
        <w:left w:val="none" w:sz="0" w:space="0" w:color="auto"/>
        <w:bottom w:val="none" w:sz="0" w:space="0" w:color="auto"/>
        <w:right w:val="none" w:sz="0" w:space="0" w:color="auto"/>
      </w:divBdr>
    </w:div>
    <w:div w:id="1437291140">
      <w:bodyDiv w:val="1"/>
      <w:marLeft w:val="0"/>
      <w:marRight w:val="0"/>
      <w:marTop w:val="0"/>
      <w:marBottom w:val="0"/>
      <w:divBdr>
        <w:top w:val="none" w:sz="0" w:space="0" w:color="auto"/>
        <w:left w:val="none" w:sz="0" w:space="0" w:color="auto"/>
        <w:bottom w:val="none" w:sz="0" w:space="0" w:color="auto"/>
        <w:right w:val="none" w:sz="0" w:space="0" w:color="auto"/>
      </w:divBdr>
    </w:div>
    <w:div w:id="1484665446">
      <w:bodyDiv w:val="1"/>
      <w:marLeft w:val="0"/>
      <w:marRight w:val="0"/>
      <w:marTop w:val="0"/>
      <w:marBottom w:val="0"/>
      <w:divBdr>
        <w:top w:val="none" w:sz="0" w:space="0" w:color="auto"/>
        <w:left w:val="none" w:sz="0" w:space="0" w:color="auto"/>
        <w:bottom w:val="none" w:sz="0" w:space="0" w:color="auto"/>
        <w:right w:val="none" w:sz="0" w:space="0" w:color="auto"/>
      </w:divBdr>
    </w:div>
    <w:div w:id="1521626474">
      <w:bodyDiv w:val="1"/>
      <w:marLeft w:val="0"/>
      <w:marRight w:val="0"/>
      <w:marTop w:val="0"/>
      <w:marBottom w:val="0"/>
      <w:divBdr>
        <w:top w:val="none" w:sz="0" w:space="0" w:color="auto"/>
        <w:left w:val="none" w:sz="0" w:space="0" w:color="auto"/>
        <w:bottom w:val="none" w:sz="0" w:space="0" w:color="auto"/>
        <w:right w:val="none" w:sz="0" w:space="0" w:color="auto"/>
      </w:divBdr>
    </w:div>
    <w:div w:id="1930650318">
      <w:bodyDiv w:val="1"/>
      <w:marLeft w:val="0"/>
      <w:marRight w:val="0"/>
      <w:marTop w:val="0"/>
      <w:marBottom w:val="0"/>
      <w:divBdr>
        <w:top w:val="none" w:sz="0" w:space="0" w:color="auto"/>
        <w:left w:val="none" w:sz="0" w:space="0" w:color="auto"/>
        <w:bottom w:val="none" w:sz="0" w:space="0" w:color="auto"/>
        <w:right w:val="none" w:sz="0" w:space="0" w:color="auto"/>
      </w:divBdr>
    </w:div>
    <w:div w:id="205927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3</cp:revision>
  <dcterms:created xsi:type="dcterms:W3CDTF">2023-08-05T06:45:00Z</dcterms:created>
  <dcterms:modified xsi:type="dcterms:W3CDTF">2023-08-05T08:37:00Z</dcterms:modified>
</cp:coreProperties>
</file>