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8526" w14:textId="18D8AAEA" w:rsidR="00E36159" w:rsidRPr="00E36159" w:rsidRDefault="00E36159" w:rsidP="00E36159">
      <w:pPr>
        <w:pStyle w:val="Default"/>
        <w:spacing w:line="480" w:lineRule="auto"/>
        <w:jc w:val="center"/>
        <w:rPr>
          <w:b/>
          <w:bCs/>
          <w:sz w:val="28"/>
          <w:szCs w:val="28"/>
        </w:rPr>
      </w:pPr>
      <w:r w:rsidRPr="00E36159">
        <w:rPr>
          <w:b/>
          <w:bCs/>
          <w:sz w:val="28"/>
          <w:szCs w:val="28"/>
        </w:rPr>
        <w:t>Consumer Credit analysis</w:t>
      </w:r>
    </w:p>
    <w:p w14:paraId="1039AC80" w14:textId="77777777" w:rsidR="00E36159" w:rsidRPr="00E36159" w:rsidRDefault="00E36159" w:rsidP="00E36159">
      <w:pPr>
        <w:pStyle w:val="Default"/>
        <w:spacing w:line="480" w:lineRule="auto"/>
        <w:rPr>
          <w:sz w:val="23"/>
          <w:szCs w:val="23"/>
        </w:rPr>
      </w:pPr>
    </w:p>
    <w:p w14:paraId="66F62EDE" w14:textId="3B1CD7AB" w:rsidR="009C65FF" w:rsidRDefault="006D7AFE" w:rsidP="00E36159">
      <w:pPr>
        <w:rPr>
          <w:b/>
          <w:bCs/>
          <w:lang w:val="en-GB"/>
        </w:rPr>
      </w:pPr>
      <w:r w:rsidRPr="006D7AFE">
        <w:rPr>
          <w:b/>
          <w:bCs/>
          <w:lang w:val="en-GB"/>
        </w:rPr>
        <w:t>Question a</w:t>
      </w:r>
    </w:p>
    <w:p w14:paraId="320B8B1D" w14:textId="33701CCA" w:rsidR="006D7AFE" w:rsidRDefault="0081112A">
      <w:r w:rsidRPr="0081112A">
        <w:t xml:space="preserve">Discriminant Analysis (DFA) </w:t>
      </w:r>
      <w:r>
        <w:t>analysis is mainly performed on a set of data to identify the linear functions existing in the data. In this case, C</w:t>
      </w:r>
      <w:r w:rsidRPr="0081112A">
        <w:t>anonical Discriminant Analysis (DFA) was performed on the dataset "Ass2Credit" to identify a linear function of the variables that best discriminates between individuals who pay off their debt (TARGET = 0) and those who do not (TARGET = 1).</w:t>
      </w:r>
    </w:p>
    <w:p w14:paraId="3BF87FED" w14:textId="733C4D9E" w:rsidR="0032698B" w:rsidRDefault="0032698B">
      <w:pPr>
        <w:rPr>
          <w:b/>
          <w:bCs/>
        </w:rPr>
      </w:pPr>
      <w:r>
        <w:rPr>
          <w:b/>
          <w:bCs/>
        </w:rPr>
        <w:t>Table 1.0</w:t>
      </w:r>
    </w:p>
    <w:p w14:paraId="5BAC6FD0" w14:textId="41D015CA" w:rsidR="0032698B" w:rsidRPr="00A6271D" w:rsidRDefault="0032698B">
      <w:pPr>
        <w:rPr>
          <w:i/>
          <w:iCs/>
          <w:lang w:val="en-KE"/>
        </w:rPr>
      </w:pPr>
      <w:r w:rsidRPr="0032698B">
        <w:rPr>
          <w:i/>
          <w:iCs/>
          <w:lang w:val="en-KE"/>
        </w:rPr>
        <w:t>Canonical Discriminant Analysis</w:t>
      </w:r>
    </w:p>
    <w:p w14:paraId="462ADF3F" w14:textId="77777777" w:rsidR="0081112A" w:rsidRPr="0081112A" w:rsidRDefault="0081112A" w:rsidP="0081112A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val="en-KE" w:eastAsia="en-KE"/>
        </w:rPr>
      </w:pPr>
      <w:r w:rsidRPr="0081112A">
        <w:rPr>
          <w:rFonts w:ascii="Arial" w:eastAsia="Times New Roman" w:hAnsi="Arial" w:cs="Arial"/>
          <w:b/>
          <w:bCs/>
          <w:color w:val="112277"/>
          <w:sz w:val="20"/>
          <w:szCs w:val="20"/>
          <w:lang w:val="en-KE" w:eastAsia="en-KE"/>
        </w:rPr>
        <w:t>The DISCRIM Procedure</w:t>
      </w:r>
    </w:p>
    <w:p w14:paraId="75C34568" w14:textId="77777777" w:rsidR="0081112A" w:rsidRPr="0081112A" w:rsidRDefault="0081112A" w:rsidP="0081112A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val="en-KE" w:eastAsia="en-KE"/>
        </w:rPr>
      </w:pPr>
      <w:bookmarkStart w:id="0" w:name="_Hlk167387484"/>
      <w:r w:rsidRPr="0081112A">
        <w:rPr>
          <w:rFonts w:ascii="Arial" w:eastAsia="Times New Roman" w:hAnsi="Arial" w:cs="Arial"/>
          <w:b/>
          <w:bCs/>
          <w:color w:val="112277"/>
          <w:sz w:val="20"/>
          <w:szCs w:val="20"/>
          <w:lang w:val="en-KE" w:eastAsia="en-KE"/>
        </w:rPr>
        <w:t>Canonical Discriminant Analysis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639"/>
        <w:gridCol w:w="639"/>
        <w:gridCol w:w="706"/>
        <w:gridCol w:w="639"/>
        <w:gridCol w:w="634"/>
        <w:gridCol w:w="601"/>
        <w:gridCol w:w="620"/>
        <w:gridCol w:w="644"/>
        <w:gridCol w:w="922"/>
        <w:gridCol w:w="1032"/>
        <w:gridCol w:w="730"/>
        <w:gridCol w:w="685"/>
        <w:gridCol w:w="631"/>
      </w:tblGrid>
      <w:tr w:rsidR="0081112A" w:rsidRPr="0081112A" w14:paraId="3DED92DE" w14:textId="77777777" w:rsidTr="0081112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bookmarkEnd w:id="0"/>
          <w:p w14:paraId="5F4A9899" w14:textId="77777777" w:rsidR="0081112A" w:rsidRPr="0081112A" w:rsidRDefault="0081112A" w:rsidP="0081112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CCFC20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Canonical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Correlation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F1299A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Adjusted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Canonical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Correlation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D5A17B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Approximate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Standard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Error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A0CFC9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Squared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Canonical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Correlation</w:t>
            </w:r>
          </w:p>
        </w:tc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5045A3" w14:textId="77777777" w:rsidR="0081112A" w:rsidRPr="0081112A" w:rsidRDefault="0081112A" w:rsidP="0081112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Eigenvalues of Inv(E)*H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 xml:space="preserve">= </w:t>
            </w:r>
            <w:proofErr w:type="spellStart"/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CanRsq</w:t>
            </w:r>
            <w:proofErr w:type="spellEnd"/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/(1-CanRsq)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8C3C2F" w14:textId="77777777" w:rsidR="0081112A" w:rsidRPr="0081112A" w:rsidRDefault="0081112A" w:rsidP="0081112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Test of H0: The canonical correlations in the current row and all that follow are zero</w:t>
            </w:r>
          </w:p>
        </w:tc>
      </w:tr>
      <w:tr w:rsidR="0081112A" w:rsidRPr="0081112A" w14:paraId="2B611930" w14:textId="77777777" w:rsidTr="0081112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8268A" w14:textId="77777777" w:rsidR="0081112A" w:rsidRPr="0081112A" w:rsidRDefault="0081112A" w:rsidP="0081112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55B5872" w14:textId="77777777" w:rsidR="0081112A" w:rsidRPr="0081112A" w:rsidRDefault="0081112A" w:rsidP="0081112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C5CDEDC" w14:textId="77777777" w:rsidR="0081112A" w:rsidRPr="0081112A" w:rsidRDefault="0081112A" w:rsidP="0081112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71DE88C4" w14:textId="77777777" w:rsidR="0081112A" w:rsidRPr="0081112A" w:rsidRDefault="0081112A" w:rsidP="0081112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0131C829" w14:textId="77777777" w:rsidR="0081112A" w:rsidRPr="0081112A" w:rsidRDefault="0081112A" w:rsidP="0081112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D8713B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Eigenvalue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7CE850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Difference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E8F818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Proportion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825895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Cumulative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8D17E2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Likelihood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Ratio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DA0514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Approximate</w:t>
            </w: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br/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01B127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Num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F5D352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Den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B8ECCC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Pr</w:t>
            </w:r>
            <w:proofErr w:type="spellEnd"/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 &gt; F</w:t>
            </w:r>
          </w:p>
        </w:tc>
      </w:tr>
      <w:tr w:rsidR="0081112A" w:rsidRPr="0081112A" w14:paraId="6DD68606" w14:textId="77777777" w:rsidTr="0081112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10206D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8D535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0.450851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D82366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0.436162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2F564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0.036790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CE868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0.203267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0C808D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0.2551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C5F7F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82D12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5E0FC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50780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0.79673341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8D9F2E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13.04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06DD9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2D1E9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B9456" w14:textId="77777777" w:rsidR="0081112A" w:rsidRPr="0081112A" w:rsidRDefault="0081112A" w:rsidP="0081112A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81112A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&lt;.0001</w:t>
            </w:r>
          </w:p>
        </w:tc>
      </w:tr>
    </w:tbl>
    <w:p w14:paraId="07E6FA6F" w14:textId="77777777" w:rsidR="0081112A" w:rsidRDefault="0081112A"/>
    <w:p w14:paraId="125B61C0" w14:textId="354A62CC" w:rsidR="00F17ED8" w:rsidRPr="00757EA7" w:rsidRDefault="0081112A" w:rsidP="00F17ED8">
      <w:pPr>
        <w:pStyle w:val="ListParagraph"/>
        <w:numPr>
          <w:ilvl w:val="0"/>
          <w:numId w:val="1"/>
        </w:numPr>
        <w:rPr>
          <w:b/>
          <w:bCs/>
          <w:lang w:val="en-KE"/>
        </w:rPr>
      </w:pPr>
      <w:r>
        <w:t xml:space="preserve">Only one </w:t>
      </w:r>
      <w:r w:rsidRPr="0081112A">
        <w:t>discriminant function</w:t>
      </w:r>
      <w:r>
        <w:t xml:space="preserve"> was identified in the data. </w:t>
      </w:r>
      <w:r w:rsidR="00F17ED8">
        <w:t xml:space="preserve">The </w:t>
      </w:r>
      <w:r w:rsidR="00F17ED8" w:rsidRPr="0081112A">
        <w:rPr>
          <w:lang w:val="en-KE"/>
        </w:rPr>
        <w:t>Canonical Discriminant</w:t>
      </w:r>
      <w:r w:rsidR="00F17ED8" w:rsidRPr="0081112A">
        <w:rPr>
          <w:b/>
          <w:bCs/>
          <w:lang w:val="en-KE"/>
        </w:rPr>
        <w:t xml:space="preserve"> </w:t>
      </w:r>
      <w:r w:rsidR="00F17ED8" w:rsidRPr="0081112A">
        <w:rPr>
          <w:lang w:val="en-KE"/>
        </w:rPr>
        <w:t>Analysis</w:t>
      </w:r>
      <w:r w:rsidR="00F17ED8">
        <w:rPr>
          <w:lang w:val="en-KE"/>
        </w:rPr>
        <w:t xml:space="preserve"> table</w:t>
      </w:r>
      <w:r w:rsidR="0032698B">
        <w:rPr>
          <w:lang w:val="en-KE"/>
        </w:rPr>
        <w:t xml:space="preserve"> above</w:t>
      </w:r>
      <w:r w:rsidR="00F17ED8">
        <w:rPr>
          <w:lang w:val="en-KE"/>
        </w:rPr>
        <w:t xml:space="preserve"> provides different statistics and also identifies the number of linear functions in the data.</w:t>
      </w:r>
    </w:p>
    <w:p w14:paraId="25CC5D8F" w14:textId="4A450847" w:rsidR="00423CFC" w:rsidRPr="00BB14F7" w:rsidRDefault="00757EA7" w:rsidP="00BB14F7">
      <w:pPr>
        <w:rPr>
          <w:lang w:val="en-KE"/>
        </w:rPr>
      </w:pPr>
      <w:r w:rsidRPr="00757EA7">
        <w:rPr>
          <w:lang w:val="en-KE"/>
        </w:rPr>
        <w:lastRenderedPageBreak/>
        <w:t>The significant canonical correlation (0.450851) with a p-value &lt;.0001 indicates that this single canonical discriminant function is significant.</w:t>
      </w:r>
      <w:r>
        <w:rPr>
          <w:lang w:val="en-KE"/>
        </w:rPr>
        <w:t xml:space="preserve"> </w:t>
      </w:r>
      <w:r w:rsidRPr="00757EA7">
        <w:rPr>
          <w:lang w:val="en-KE"/>
        </w:rPr>
        <w:t>Thus, there is one significant discriminant function in this analysis.</w:t>
      </w:r>
      <w:r w:rsidR="00BB14F7">
        <w:rPr>
          <w:lang w:val="en-KE"/>
        </w:rPr>
        <w:t xml:space="preserve"> </w:t>
      </w:r>
      <w:r w:rsidR="00423CFC" w:rsidRPr="00BB14F7">
        <w:rPr>
          <w:lang w:val="en-KE"/>
        </w:rPr>
        <w:t xml:space="preserve">The below plot </w:t>
      </w:r>
      <w:r w:rsidR="000037CD" w:rsidRPr="00BB14F7">
        <w:rPr>
          <w:lang w:val="en-KE"/>
        </w:rPr>
        <w:t>justifies the use of a single discriminant function in separating the two individual groups.</w:t>
      </w:r>
    </w:p>
    <w:p w14:paraId="08985799" w14:textId="7F05E531" w:rsidR="00423CFC" w:rsidRDefault="00423CFC" w:rsidP="00423CFC">
      <w:pPr>
        <w:pStyle w:val="ListParagraph"/>
        <w:rPr>
          <w:b/>
          <w:bCs/>
          <w:lang w:val="en-KE"/>
        </w:rPr>
      </w:pPr>
      <w:r w:rsidRPr="00423CFC">
        <w:rPr>
          <w:b/>
          <w:bCs/>
          <w:lang w:val="en-KE"/>
        </w:rPr>
        <w:t>Figure 1.0</w:t>
      </w:r>
    </w:p>
    <w:p w14:paraId="5C08C72F" w14:textId="2145965F" w:rsidR="00423CFC" w:rsidRPr="00423CFC" w:rsidRDefault="00423CFC" w:rsidP="00423CFC">
      <w:pPr>
        <w:pStyle w:val="ListParagraph"/>
        <w:rPr>
          <w:i/>
          <w:iCs/>
          <w:lang w:val="en-KE"/>
        </w:rPr>
      </w:pPr>
      <w:r w:rsidRPr="00423CFC">
        <w:rPr>
          <w:i/>
          <w:iCs/>
          <w:lang w:val="en-KE"/>
        </w:rPr>
        <w:t>Plot</w:t>
      </w:r>
      <w:r>
        <w:rPr>
          <w:i/>
          <w:iCs/>
          <w:lang w:val="en-KE"/>
        </w:rPr>
        <w:t xml:space="preserve"> of </w:t>
      </w:r>
      <w:r w:rsidRPr="00423CFC">
        <w:rPr>
          <w:i/>
          <w:iCs/>
          <w:lang w:val="en-KE"/>
        </w:rPr>
        <w:t xml:space="preserve">Canonical Discriminant (Function) Analysis </w:t>
      </w:r>
    </w:p>
    <w:p w14:paraId="61F4DB15" w14:textId="0F30CF59" w:rsidR="001B16E9" w:rsidRPr="0081112A" w:rsidRDefault="00423CFC" w:rsidP="001B16E9">
      <w:pPr>
        <w:pStyle w:val="ListParagraph"/>
        <w:rPr>
          <w:b/>
          <w:bCs/>
          <w:lang w:val="en-KE"/>
        </w:rPr>
      </w:pPr>
      <w:r>
        <w:rPr>
          <w:noProof/>
        </w:rPr>
        <w:drawing>
          <wp:inline distT="0" distB="0" distL="0" distR="0" wp14:anchorId="411E64C2" wp14:editId="7CCCC979">
            <wp:extent cx="5943600" cy="4457700"/>
            <wp:effectExtent l="0" t="0" r="0" b="0"/>
            <wp:docPr id="338111897" name="Picture 1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B5D0" w14:textId="37313F84" w:rsidR="00BB14F7" w:rsidRPr="00743CA5" w:rsidRDefault="00BB14F7" w:rsidP="00743CA5">
      <w:pPr>
        <w:rPr>
          <w:lang w:val="en-KE"/>
        </w:rPr>
      </w:pPr>
      <w:r>
        <w:rPr>
          <w:lang w:val="en-KE"/>
        </w:rPr>
        <w:t>A</w:t>
      </w:r>
      <w:r w:rsidRPr="00BB14F7">
        <w:rPr>
          <w:lang w:val="en-KE"/>
        </w:rPr>
        <w:t>b</w:t>
      </w:r>
      <w:r>
        <w:rPr>
          <w:lang w:val="en-KE"/>
        </w:rPr>
        <w:t>ove</w:t>
      </w:r>
      <w:r w:rsidRPr="00BB14F7">
        <w:rPr>
          <w:lang w:val="en-KE"/>
        </w:rPr>
        <w:t xml:space="preserve"> plot justifies the </w:t>
      </w:r>
      <w:r>
        <w:rPr>
          <w:lang w:val="en-KE"/>
        </w:rPr>
        <w:t xml:space="preserve">need to </w:t>
      </w:r>
      <w:r w:rsidRPr="00BB14F7">
        <w:rPr>
          <w:lang w:val="en-KE"/>
        </w:rPr>
        <w:t>use a</w:t>
      </w:r>
      <w:r w:rsidRPr="00BB14F7">
        <w:rPr>
          <w:lang w:val="en-KE"/>
        </w:rPr>
        <w:t xml:space="preserve"> single discriminant function in separating the two individual groups. The clear separation along the x-axi</w:t>
      </w:r>
      <w:r>
        <w:rPr>
          <w:lang w:val="en-KE"/>
        </w:rPr>
        <w:t xml:space="preserve">s </w:t>
      </w:r>
      <w:r w:rsidRPr="00BB14F7">
        <w:rPr>
          <w:lang w:val="en-KE"/>
        </w:rPr>
        <w:t>shows that this function effectively discriminates between those who pay off their debt</w:t>
      </w:r>
      <w:r>
        <w:rPr>
          <w:lang w:val="en-KE"/>
        </w:rPr>
        <w:t xml:space="preserve"> </w:t>
      </w:r>
      <w:r w:rsidRPr="00BB14F7">
        <w:rPr>
          <w:lang w:val="en-KE"/>
        </w:rPr>
        <w:t>and those who do not.</w:t>
      </w:r>
    </w:p>
    <w:p w14:paraId="6D44ED48" w14:textId="555B5E83" w:rsidR="0081112A" w:rsidRPr="0032698B" w:rsidRDefault="00CF69C4" w:rsidP="0081112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Identifying the most important variables that </w:t>
      </w:r>
      <w:r w:rsidRPr="00CF69C4">
        <w:t>discriminat</w:t>
      </w:r>
      <w:r>
        <w:t>e</w:t>
      </w:r>
      <w:r w:rsidRPr="00CF69C4">
        <w:t xml:space="preserve"> between the </w:t>
      </w:r>
      <w:r>
        <w:t xml:space="preserve">different </w:t>
      </w:r>
      <w:r w:rsidRPr="00CF69C4">
        <w:t xml:space="preserve">classes in </w:t>
      </w:r>
      <w:r>
        <w:t xml:space="preserve">the data, can be achieved by critically analyzing </w:t>
      </w:r>
      <w:r w:rsidRPr="00CF69C4">
        <w:t>the "Total-Sample Standardized Canonical Coefficients" and "Pooled Within-Class Standardized Canonical Coefficients" tables from the output of the PROC DISCRIM procedure allowing to determine which variables contribute the most to the discrimination between classes.</w:t>
      </w:r>
      <w:r w:rsidR="0032698B">
        <w:t xml:space="preserve"> The variables with the highest absolute coefficient are deemed the most important.</w:t>
      </w:r>
    </w:p>
    <w:p w14:paraId="4A9478B8" w14:textId="76830ECA" w:rsidR="0032698B" w:rsidRPr="0032698B" w:rsidRDefault="0032698B" w:rsidP="0032698B">
      <w:pPr>
        <w:rPr>
          <w:b/>
          <w:bCs/>
          <w:lang w:val="en-GB"/>
        </w:rPr>
      </w:pPr>
      <w:r w:rsidRPr="0032698B">
        <w:rPr>
          <w:b/>
          <w:bCs/>
          <w:lang w:val="en-GB"/>
        </w:rPr>
        <w:t>Table 2.0</w:t>
      </w:r>
    </w:p>
    <w:p w14:paraId="2455B243" w14:textId="1ABFA41E" w:rsidR="0032698B" w:rsidRPr="0032698B" w:rsidRDefault="0032698B" w:rsidP="0032698B">
      <w:pPr>
        <w:rPr>
          <w:i/>
          <w:iCs/>
          <w:lang w:val="en-GB"/>
        </w:rPr>
      </w:pPr>
      <w:r w:rsidRPr="0032698B">
        <w:rPr>
          <w:i/>
          <w:iCs/>
          <w:lang w:val="en-KE"/>
        </w:rPr>
        <w:t>Total-Sample Standardized Canonical Coefficients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4649"/>
        <w:gridCol w:w="1460"/>
      </w:tblGrid>
      <w:tr w:rsidR="00CF69C4" w:rsidRPr="00CF69C4" w14:paraId="7374BFB2" w14:textId="77777777" w:rsidTr="00CF69C4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C5F5D6" w14:textId="77777777" w:rsidR="00CF69C4" w:rsidRPr="00CF69C4" w:rsidRDefault="00CF69C4" w:rsidP="0032698B">
            <w:pPr>
              <w:pStyle w:val="ListParagraph"/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bookmarkStart w:id="1" w:name="_Hlk167388520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Total-Sample Standardized Canonical Coefficients</w:t>
            </w:r>
            <w:bookmarkEnd w:id="1"/>
          </w:p>
        </w:tc>
      </w:tr>
      <w:tr w:rsidR="00CF69C4" w:rsidRPr="00CF69C4" w14:paraId="2F07E335" w14:textId="77777777" w:rsidTr="00CF69C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EB0F44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B58A6E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8C78ED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Can1</w:t>
            </w:r>
          </w:p>
        </w:tc>
      </w:tr>
      <w:tr w:rsidR="00CF69C4" w:rsidRPr="00CF69C4" w14:paraId="76B55562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A42A30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CollectCnt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36DA6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Collections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C23699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0.0499636785</w:t>
            </w:r>
          </w:p>
        </w:tc>
      </w:tr>
      <w:tr w:rsidR="00CF69C4" w:rsidRPr="00CF69C4" w14:paraId="7F4686E7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98D95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InqFinanceCnt24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96612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Finance Inquires 24 Months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D8B51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0.5466558736</w:t>
            </w:r>
          </w:p>
        </w:tc>
      </w:tr>
      <w:tr w:rsidR="00CF69C4" w:rsidRPr="00CF69C4" w14:paraId="1C96949D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23C03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InqTimeLast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B50EBE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Time Since Last Inquiry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345B8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0.1033763125</w:t>
            </w:r>
          </w:p>
        </w:tc>
      </w:tr>
      <w:tr w:rsidR="00CF69C4" w:rsidRPr="00CF69C4" w14:paraId="6563C27B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D00CAC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TLTimeFirst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8300D1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Time Since First Trade Line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C34611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-.1687640127</w:t>
            </w:r>
          </w:p>
        </w:tc>
      </w:tr>
      <w:tr w:rsidR="00CF69C4" w:rsidRPr="00CF69C4" w14:paraId="649D259E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8CD63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TLBalHCPct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C2D9A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Trade Line Balance to High Credit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E303B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0.3080052121</w:t>
            </w:r>
          </w:p>
        </w:tc>
      </w:tr>
      <w:tr w:rsidR="00CF69C4" w:rsidRPr="00CF69C4" w14:paraId="59334E1E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B90499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TLSatPct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F2587F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Satisfactory to Total Trade Lines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39BDCF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-.7163946321</w:t>
            </w:r>
          </w:p>
        </w:tc>
      </w:tr>
      <w:tr w:rsidR="00CF69C4" w:rsidRPr="00CF69C4" w14:paraId="6029110F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8BD47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TLSum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92183F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Total Balance All Trade Lines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B8FF5A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0.0752990652</w:t>
            </w:r>
          </w:p>
        </w:tc>
      </w:tr>
      <w:tr w:rsidR="00CF69C4" w:rsidRPr="00CF69C4" w14:paraId="1062A09E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8065E9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TLOpenPct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D25FFB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Trade Lines Open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8ECD6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0.3295953728</w:t>
            </w:r>
          </w:p>
        </w:tc>
      </w:tr>
      <w:tr w:rsidR="00CF69C4" w:rsidRPr="00CF69C4" w14:paraId="7EFDD506" w14:textId="77777777" w:rsidTr="00CF69C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2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B87CD4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TLDel60Cnt24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99AA07" w14:textId="77777777" w:rsidR="00CF69C4" w:rsidRPr="00CF69C4" w:rsidRDefault="00CF69C4" w:rsidP="00CF69C4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Trade Lines 60 Days or Worse 24 Months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CC6A8" w14:textId="77777777" w:rsidR="00CF69C4" w:rsidRPr="00CF69C4" w:rsidRDefault="00CF69C4" w:rsidP="00CF69C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CF69C4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0.3712633783</w:t>
            </w:r>
          </w:p>
        </w:tc>
      </w:tr>
    </w:tbl>
    <w:p w14:paraId="412E4EA2" w14:textId="77777777" w:rsidR="0032698B" w:rsidRDefault="0032698B" w:rsidP="0032698B">
      <w:pPr>
        <w:spacing w:after="0" w:line="240" w:lineRule="auto"/>
        <w:rPr>
          <w:rFonts w:eastAsia="Times New Roman"/>
          <w:color w:val="auto"/>
          <w:lang w:val="en-KE" w:eastAsia="en-KE"/>
        </w:rPr>
      </w:pPr>
    </w:p>
    <w:p w14:paraId="08CB3C2F" w14:textId="77777777" w:rsidR="0032698B" w:rsidRDefault="0032698B" w:rsidP="0032698B">
      <w:pPr>
        <w:spacing w:after="0" w:line="240" w:lineRule="auto"/>
        <w:rPr>
          <w:rFonts w:eastAsia="Times New Roman"/>
          <w:color w:val="auto"/>
          <w:lang w:val="en-KE" w:eastAsia="en-KE"/>
        </w:rPr>
      </w:pPr>
    </w:p>
    <w:p w14:paraId="1734CB54" w14:textId="4527F72A" w:rsidR="0032698B" w:rsidRDefault="0032698B" w:rsidP="00ED2CAC">
      <w:pPr>
        <w:spacing w:after="0"/>
        <w:rPr>
          <w:rFonts w:eastAsia="Times New Roman"/>
          <w:b/>
          <w:bCs/>
          <w:color w:val="auto"/>
          <w:lang w:val="en-KE" w:eastAsia="en-KE"/>
        </w:rPr>
      </w:pPr>
      <w:r>
        <w:rPr>
          <w:rFonts w:eastAsia="Times New Roman"/>
          <w:b/>
          <w:bCs/>
          <w:color w:val="auto"/>
          <w:lang w:val="en-KE" w:eastAsia="en-KE"/>
        </w:rPr>
        <w:t>Table 3.0</w:t>
      </w:r>
    </w:p>
    <w:p w14:paraId="5E16DE13" w14:textId="26149344" w:rsidR="0032698B" w:rsidRPr="0032698B" w:rsidRDefault="0032698B" w:rsidP="00ED2CAC">
      <w:pPr>
        <w:spacing w:after="0"/>
        <w:rPr>
          <w:rFonts w:eastAsia="Times New Roman"/>
          <w:i/>
          <w:iCs/>
          <w:color w:val="auto"/>
          <w:lang w:val="en-KE" w:eastAsia="en-KE"/>
        </w:rPr>
      </w:pPr>
      <w:r w:rsidRPr="0032698B">
        <w:rPr>
          <w:rFonts w:eastAsia="Times New Roman"/>
          <w:i/>
          <w:iCs/>
          <w:color w:val="auto"/>
          <w:lang w:val="en-KE" w:eastAsia="en-KE"/>
        </w:rPr>
        <w:t>Pooled Within Canonical Structure</w:t>
      </w:r>
      <w:r>
        <w:rPr>
          <w:rFonts w:eastAsia="Times New Roman"/>
          <w:i/>
          <w:iCs/>
          <w:color w:val="auto"/>
          <w:lang w:val="en-KE" w:eastAsia="en-KE"/>
        </w:rPr>
        <w:t xml:space="preserve"> Coefficients</w:t>
      </w:r>
    </w:p>
    <w:p w14:paraId="5BC4475B" w14:textId="77777777" w:rsidR="0032698B" w:rsidRDefault="0032698B" w:rsidP="0032698B">
      <w:pPr>
        <w:spacing w:after="0" w:line="240" w:lineRule="auto"/>
        <w:rPr>
          <w:rFonts w:eastAsia="Times New Roman"/>
          <w:color w:val="auto"/>
          <w:lang w:val="en-KE" w:eastAsia="en-K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4649"/>
        <w:gridCol w:w="1081"/>
      </w:tblGrid>
      <w:tr w:rsidR="0032698B" w:rsidRPr="0032698B" w14:paraId="53115A9C" w14:textId="77777777" w:rsidTr="0032698B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BD1D14" w14:textId="77777777" w:rsidR="0032698B" w:rsidRPr="0032698B" w:rsidRDefault="0032698B" w:rsidP="0032698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bookmarkStart w:id="2" w:name="_Hlk167388579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Pooled Within Canonical Structure</w:t>
            </w:r>
            <w:bookmarkEnd w:id="2"/>
          </w:p>
        </w:tc>
      </w:tr>
      <w:tr w:rsidR="0032698B" w:rsidRPr="0032698B" w14:paraId="320A22D8" w14:textId="77777777" w:rsidTr="003269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CE0469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8C2603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9AE9D9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Can1</w:t>
            </w:r>
          </w:p>
        </w:tc>
      </w:tr>
      <w:tr w:rsidR="0032698B" w:rsidRPr="0032698B" w14:paraId="32D97B9F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7795B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CollectCnt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277D70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Collections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040250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0.172287</w:t>
            </w:r>
          </w:p>
        </w:tc>
      </w:tr>
      <w:tr w:rsidR="0032698B" w:rsidRPr="0032698B" w14:paraId="0B319F7F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686451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InqFinanceCnt24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D644C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Finance Inquires 24 Months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5D8E86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0.486341</w:t>
            </w:r>
          </w:p>
        </w:tc>
      </w:tr>
      <w:tr w:rsidR="0032698B" w:rsidRPr="0032698B" w14:paraId="4D61DF1E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C0856F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InqTimeLast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CBB2F0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Time Since Last Inquiry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C8331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-0.083938</w:t>
            </w:r>
          </w:p>
        </w:tc>
      </w:tr>
      <w:tr w:rsidR="0032698B" w:rsidRPr="0032698B" w14:paraId="2FDF7B4A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9667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TLTimeFirst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C40D6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Time Since First Trade Line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7043A3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-0.181288</w:t>
            </w:r>
          </w:p>
        </w:tc>
      </w:tr>
      <w:tr w:rsidR="0032698B" w:rsidRPr="0032698B" w14:paraId="43B59EEA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898CC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TLBalHCPct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A0E99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Trade Line Balance to High Credit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EE3CA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0.401838</w:t>
            </w:r>
          </w:p>
        </w:tc>
      </w:tr>
      <w:tr w:rsidR="0032698B" w:rsidRPr="0032698B" w14:paraId="36D2C93D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E4B7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TLSatPct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16FD1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Satisfactory to Total Trade Lines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B741F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-0.618060</w:t>
            </w:r>
          </w:p>
        </w:tc>
      </w:tr>
      <w:tr w:rsidR="0032698B" w:rsidRPr="0032698B" w14:paraId="2FF723BF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F0C4A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TLSum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0758A2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Total Balance All Trade Lines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03251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-0.029255</w:t>
            </w:r>
          </w:p>
        </w:tc>
      </w:tr>
      <w:tr w:rsidR="0032698B" w:rsidRPr="0032698B" w14:paraId="6CE02EDE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23137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proofErr w:type="spellStart"/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TLOpenPct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AE2467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Percent Trade Lines Open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76666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-0.135203</w:t>
            </w:r>
          </w:p>
        </w:tc>
      </w:tr>
      <w:tr w:rsidR="0032698B" w:rsidRPr="0032698B" w14:paraId="797AEF73" w14:textId="77777777" w:rsidTr="003269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2F65A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TLDel60Cnt24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61D6B4" w14:textId="77777777" w:rsidR="0032698B" w:rsidRPr="0032698B" w:rsidRDefault="0032698B" w:rsidP="0032698B">
            <w:pPr>
              <w:spacing w:after="24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Number Trade Lines 60 Days or Worse 24 Months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6828B" w14:textId="77777777" w:rsidR="0032698B" w:rsidRPr="0032698B" w:rsidRDefault="0032698B" w:rsidP="0032698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32698B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0.599692</w:t>
            </w:r>
          </w:p>
        </w:tc>
      </w:tr>
    </w:tbl>
    <w:p w14:paraId="32870654" w14:textId="77777777" w:rsidR="00E73521" w:rsidRDefault="00467C70" w:rsidP="00E73521">
      <w:pPr>
        <w:spacing w:before="240" w:after="240"/>
        <w:rPr>
          <w:rFonts w:eastAsia="Times New Roman"/>
          <w:color w:val="auto"/>
          <w:lang w:eastAsia="en-KE"/>
        </w:rPr>
      </w:pPr>
      <w:r>
        <w:rPr>
          <w:rFonts w:eastAsia="Times New Roman"/>
          <w:color w:val="auto"/>
          <w:lang w:val="en-KE" w:eastAsia="en-KE"/>
        </w:rPr>
        <w:t xml:space="preserve">The most important variables from the data are </w:t>
      </w:r>
      <w:proofErr w:type="spellStart"/>
      <w:r w:rsidRPr="00467C70">
        <w:rPr>
          <w:rFonts w:eastAsia="Times New Roman"/>
          <w:color w:val="auto"/>
          <w:lang w:eastAsia="en-KE"/>
        </w:rPr>
        <w:t>TLSatPct</w:t>
      </w:r>
      <w:proofErr w:type="spellEnd"/>
      <w:r>
        <w:rPr>
          <w:rFonts w:eastAsia="Times New Roman"/>
          <w:color w:val="auto"/>
          <w:lang w:eastAsia="en-KE"/>
        </w:rPr>
        <w:t>,</w:t>
      </w:r>
      <w:r w:rsidRPr="00213621">
        <w:rPr>
          <w:rFonts w:eastAsia="Times New Roman"/>
          <w:color w:val="auto"/>
          <w:lang w:eastAsia="en-KE"/>
        </w:rPr>
        <w:t xml:space="preserve"> </w:t>
      </w:r>
      <w:r w:rsidR="00213621" w:rsidRPr="00213621">
        <w:rPr>
          <w:rFonts w:eastAsia="Times New Roman"/>
          <w:color w:val="auto"/>
          <w:lang w:eastAsia="en-KE"/>
        </w:rPr>
        <w:t>TLDel60Cnt24</w:t>
      </w:r>
      <w:r w:rsidR="00213621">
        <w:rPr>
          <w:rFonts w:eastAsia="Times New Roman"/>
          <w:color w:val="auto"/>
          <w:lang w:eastAsia="en-KE"/>
        </w:rPr>
        <w:t xml:space="preserve"> and </w:t>
      </w:r>
      <w:r w:rsidR="00213621" w:rsidRPr="00213621">
        <w:rPr>
          <w:rFonts w:eastAsia="Times New Roman"/>
          <w:color w:val="auto"/>
          <w:lang w:eastAsia="en-KE"/>
        </w:rPr>
        <w:t>InqFinanceCnt24</w:t>
      </w:r>
      <w:r w:rsidR="00213621">
        <w:rPr>
          <w:rFonts w:eastAsia="Times New Roman"/>
          <w:color w:val="auto"/>
          <w:lang w:eastAsia="en-KE"/>
        </w:rPr>
        <w:t>. These variables are the most critical</w:t>
      </w:r>
      <w:r w:rsidR="00213621" w:rsidRPr="00213621">
        <w:rPr>
          <w:rFonts w:eastAsia="Times New Roman"/>
          <w:color w:val="auto"/>
          <w:lang w:eastAsia="en-KE"/>
        </w:rPr>
        <w:t xml:space="preserve"> in distinguishing between individuals who pay off their debt and those who do not.</w:t>
      </w:r>
    </w:p>
    <w:p w14:paraId="0C7AEBBC" w14:textId="0AFBCCBD" w:rsidR="0019193B" w:rsidRPr="00E73521" w:rsidRDefault="00E73521" w:rsidP="00E73521">
      <w:pPr>
        <w:spacing w:before="240" w:after="240"/>
        <w:rPr>
          <w:rFonts w:eastAsia="Times New Roman"/>
          <w:color w:val="auto"/>
          <w:lang w:eastAsia="en-KE"/>
        </w:rPr>
      </w:pPr>
      <w:r w:rsidRPr="008A1498">
        <w:rPr>
          <w:rFonts w:eastAsia="Times New Roman"/>
          <w:b/>
          <w:bCs/>
          <w:color w:val="auto"/>
          <w:lang w:eastAsia="en-KE"/>
        </w:rPr>
        <w:t>3</w:t>
      </w:r>
      <w:r>
        <w:rPr>
          <w:rFonts w:eastAsia="Times New Roman"/>
          <w:color w:val="auto"/>
          <w:lang w:eastAsia="en-KE"/>
        </w:rPr>
        <w:t xml:space="preserve">. </w:t>
      </w:r>
      <w:r w:rsidR="00CF4CA3" w:rsidRPr="00E73521">
        <w:rPr>
          <w:rFonts w:eastAsia="Times New Roman"/>
          <w:color w:val="auto"/>
          <w:lang w:val="en-KE" w:eastAsia="en-KE"/>
        </w:rPr>
        <w:t xml:space="preserve">I would consider reducing the </w:t>
      </w:r>
      <w:r w:rsidR="00693880" w:rsidRPr="00E73521">
        <w:rPr>
          <w:rFonts w:eastAsia="Times New Roman"/>
          <w:color w:val="auto"/>
          <w:lang w:val="en-KE" w:eastAsia="en-KE"/>
        </w:rPr>
        <w:t>variables</w:t>
      </w:r>
      <w:r w:rsidR="00CF4CA3" w:rsidRPr="00E73521">
        <w:rPr>
          <w:rFonts w:eastAsia="Times New Roman"/>
          <w:color w:val="auto"/>
          <w:lang w:val="en-KE" w:eastAsia="en-KE"/>
        </w:rPr>
        <w:t xml:space="preserve"> in the data and focus on the most important variables as identified. </w:t>
      </w:r>
      <w:r w:rsidR="00406E36" w:rsidRPr="00E73521">
        <w:rPr>
          <w:rFonts w:eastAsia="Times New Roman"/>
          <w:color w:val="auto"/>
          <w:lang w:val="en-KE" w:eastAsia="en-KE"/>
        </w:rPr>
        <w:t xml:space="preserve">Reducing the variables and focusing on the most important variables in the data will ensure the DFA methods sustains </w:t>
      </w:r>
      <w:r w:rsidR="00406E36" w:rsidRPr="00E73521">
        <w:rPr>
          <w:rFonts w:eastAsia="Times New Roman"/>
          <w:color w:val="auto"/>
          <w:lang w:eastAsia="en-KE"/>
        </w:rPr>
        <w:t>higher discriminative Power, Simplicity and increase classification accuracy.</w:t>
      </w:r>
    </w:p>
    <w:p w14:paraId="75C8769D" w14:textId="2E9BBEA9" w:rsidR="00E73521" w:rsidRPr="00E73521" w:rsidRDefault="0019193B" w:rsidP="00E73521">
      <w:pPr>
        <w:spacing w:before="240" w:after="240"/>
        <w:rPr>
          <w:rFonts w:eastAsia="Times New Roman"/>
          <w:b/>
          <w:bCs/>
          <w:color w:val="auto"/>
          <w:lang w:val="en-KE" w:eastAsia="en-KE"/>
        </w:rPr>
      </w:pPr>
      <w:r w:rsidRPr="0019193B">
        <w:rPr>
          <w:rFonts w:eastAsia="Times New Roman"/>
          <w:b/>
          <w:bCs/>
          <w:color w:val="auto"/>
          <w:lang w:val="en-KE" w:eastAsia="en-KE"/>
        </w:rPr>
        <w:t>Question b</w:t>
      </w:r>
    </w:p>
    <w:p w14:paraId="4B4D21E1" w14:textId="60CCDF34" w:rsidR="00E73521" w:rsidRPr="00E73521" w:rsidRDefault="00E73521" w:rsidP="00E73521">
      <w:pPr>
        <w:pStyle w:val="Default"/>
        <w:numPr>
          <w:ilvl w:val="0"/>
          <w:numId w:val="12"/>
        </w:numPr>
        <w:rPr>
          <w:b/>
          <w:bCs/>
        </w:rPr>
      </w:pPr>
      <w:r w:rsidRPr="00E73521">
        <w:rPr>
          <w:b/>
          <w:bCs/>
        </w:rPr>
        <w:t xml:space="preserve">Fisher Discriminant Analysis </w:t>
      </w:r>
    </w:p>
    <w:p w14:paraId="4E1447A4" w14:textId="0642878F" w:rsidR="00ED2CAC" w:rsidRPr="00ED2CAC" w:rsidRDefault="00B92005" w:rsidP="00101A6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  <w:r w:rsidRPr="00B92005">
        <w:rPr>
          <w:rFonts w:eastAsia="Times New Roman"/>
          <w:color w:val="auto"/>
          <w:lang w:val="en-KE" w:eastAsia="en-KE"/>
        </w:rPr>
        <w:lastRenderedPageBreak/>
        <w:t>Fisher Discriminant Analysis</w:t>
      </w:r>
      <w:r w:rsidRPr="00ED2CAC">
        <w:rPr>
          <w:rFonts w:eastAsia="Times New Roman"/>
          <w:color w:val="auto"/>
          <w:lang w:val="en-KE" w:eastAsia="en-KE"/>
        </w:rPr>
        <w:t xml:space="preserve"> also know </w:t>
      </w:r>
      <w:r w:rsidR="00ED2CAC" w:rsidRPr="00ED2CAC">
        <w:rPr>
          <w:rFonts w:eastAsia="Times New Roman"/>
          <w:color w:val="auto"/>
          <w:lang w:val="en-KE" w:eastAsia="en-KE"/>
        </w:rPr>
        <w:t xml:space="preserve">as </w:t>
      </w:r>
      <w:r w:rsidR="00ED2CAC" w:rsidRPr="00ED2CAC">
        <w:rPr>
          <w:rFonts w:eastAsia="Times New Roman"/>
          <w:color w:val="auto"/>
          <w:lang w:eastAsia="en-KE"/>
        </w:rPr>
        <w:t>Linear</w:t>
      </w:r>
      <w:r w:rsidRPr="00ED2CAC">
        <w:rPr>
          <w:rFonts w:eastAsia="Times New Roman"/>
          <w:color w:val="auto"/>
          <w:lang w:eastAsia="en-KE"/>
        </w:rPr>
        <w:t xml:space="preserve"> Discriminant Analysis (LDA) is a mathematical </w:t>
      </w:r>
      <w:r w:rsidR="0052070B" w:rsidRPr="00ED2CAC">
        <w:rPr>
          <w:rFonts w:eastAsia="Times New Roman"/>
          <w:color w:val="auto"/>
          <w:lang w:eastAsia="en-KE"/>
        </w:rPr>
        <w:t>method</w:t>
      </w:r>
      <w:r w:rsidRPr="00ED2CAC">
        <w:rPr>
          <w:rFonts w:eastAsia="Times New Roman"/>
          <w:color w:val="auto"/>
          <w:lang w:eastAsia="en-KE"/>
        </w:rPr>
        <w:t xml:space="preserve"> used to classify data points based on their characteristics that separates the data distinctively. </w:t>
      </w:r>
      <w:r w:rsidR="00ED2CAC" w:rsidRPr="00ED2CAC">
        <w:rPr>
          <w:rFonts w:eastAsia="Times New Roman"/>
          <w:color w:val="auto"/>
          <w:lang w:eastAsia="en-KE"/>
        </w:rPr>
        <w:t xml:space="preserve">To classify the individuals, </w:t>
      </w:r>
      <w:r w:rsidR="00ED2CAC" w:rsidRPr="00B92005">
        <w:rPr>
          <w:rFonts w:eastAsia="Times New Roman"/>
          <w:color w:val="auto"/>
          <w:lang w:val="en-KE" w:eastAsia="en-KE"/>
        </w:rPr>
        <w:t>Fisher Discriminant Analysis</w:t>
      </w:r>
      <w:r w:rsidR="00ED2CAC" w:rsidRPr="00ED2CAC">
        <w:rPr>
          <w:rFonts w:eastAsia="Times New Roman"/>
          <w:color w:val="auto"/>
          <w:lang w:val="en-KE" w:eastAsia="en-KE"/>
        </w:rPr>
        <w:t xml:space="preserve"> method was applied. The method produced an overall classification accuracy of 68.40%. The method correctly classified 75.85% of class 0 and 67.44% of class 1 </w:t>
      </w:r>
      <w:r w:rsidR="00ED2CAC">
        <w:rPr>
          <w:rFonts w:eastAsia="Times New Roman"/>
          <w:color w:val="auto"/>
          <w:lang w:val="en-KE" w:eastAsia="en-KE"/>
        </w:rPr>
        <w:t xml:space="preserve">and had an </w:t>
      </w:r>
      <w:r w:rsidR="00ED2CAC">
        <w:rPr>
          <w:rFonts w:eastAsia="Times New Roman"/>
          <w:color w:val="auto"/>
          <w:lang w:eastAsia="en-KE"/>
        </w:rPr>
        <w:t>e</w:t>
      </w:r>
      <w:r w:rsidR="00ED2CAC" w:rsidRPr="00ED2CAC">
        <w:rPr>
          <w:rFonts w:eastAsia="Times New Roman"/>
          <w:color w:val="auto"/>
          <w:lang w:eastAsia="en-KE"/>
        </w:rPr>
        <w:t>rror rate</w:t>
      </w:r>
      <w:r w:rsidR="00ED2CAC">
        <w:rPr>
          <w:rFonts w:eastAsia="Times New Roman"/>
          <w:color w:val="auto"/>
          <w:lang w:eastAsia="en-KE"/>
        </w:rPr>
        <w:t xml:space="preserve"> 2</w:t>
      </w:r>
      <w:r w:rsidR="00ED2CAC" w:rsidRPr="00ED2CAC">
        <w:rPr>
          <w:rFonts w:eastAsia="Times New Roman"/>
          <w:color w:val="auto"/>
          <w:lang w:eastAsia="en-KE"/>
        </w:rPr>
        <w:t>8.36%</w:t>
      </w:r>
      <w:r w:rsidR="00ED2CAC">
        <w:rPr>
          <w:rFonts w:eastAsia="Times New Roman"/>
          <w:color w:val="auto"/>
          <w:lang w:eastAsia="en-KE"/>
        </w:rPr>
        <w:t>.</w:t>
      </w:r>
    </w:p>
    <w:p w14:paraId="483F7666" w14:textId="13E7AB68" w:rsidR="00ED2CAC" w:rsidRPr="00ED2CAC" w:rsidRDefault="00ED2CAC" w:rsidP="00101A6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  <w:r>
        <w:rPr>
          <w:rFonts w:eastAsia="Times New Roman"/>
          <w:b/>
          <w:bCs/>
          <w:color w:val="auto"/>
          <w:lang w:val="en-KE" w:eastAsia="en-KE"/>
        </w:rPr>
        <w:t>Table 4.0</w:t>
      </w:r>
    </w:p>
    <w:p w14:paraId="682368F4" w14:textId="674CA595" w:rsidR="00ED2CAC" w:rsidRPr="00ED2CAC" w:rsidRDefault="00ED2CAC" w:rsidP="00101A6D">
      <w:pPr>
        <w:numPr>
          <w:ilvl w:val="0"/>
          <w:numId w:val="6"/>
        </w:numPr>
        <w:spacing w:before="240" w:after="240"/>
        <w:rPr>
          <w:rFonts w:eastAsia="Times New Roman"/>
          <w:i/>
          <w:iCs/>
          <w:color w:val="auto"/>
          <w:lang w:val="en-KE" w:eastAsia="en-KE"/>
        </w:rPr>
      </w:pPr>
      <w:r w:rsidRPr="00ED2CAC">
        <w:rPr>
          <w:rFonts w:eastAsia="Times New Roman"/>
          <w:i/>
          <w:iCs/>
          <w:color w:val="auto"/>
          <w:lang w:val="en-KE" w:eastAsia="en-KE"/>
        </w:rPr>
        <w:t>Number of Observations and Percent Classified into TARGET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236"/>
        <w:gridCol w:w="1236"/>
        <w:gridCol w:w="1437"/>
      </w:tblGrid>
      <w:tr w:rsidR="00ED2CAC" w:rsidRPr="00ED2CAC" w14:paraId="29D97C5B" w14:textId="77777777" w:rsidTr="00ED2CAC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498E01" w14:textId="77777777" w:rsidR="00ED2CAC" w:rsidRPr="00ED2CAC" w:rsidRDefault="00ED2CAC" w:rsidP="00ED2CAC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Number of Observations and Percent Classified into TARGET</w:t>
            </w:r>
          </w:p>
        </w:tc>
      </w:tr>
      <w:tr w:rsidR="00ED2CAC" w:rsidRPr="00ED2CAC" w14:paraId="1FA20893" w14:textId="77777777" w:rsidTr="00ED2CA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84672F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From TARGET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772B6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C9B4A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249CD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Total</w:t>
            </w:r>
          </w:p>
        </w:tc>
      </w:tr>
      <w:tr w:rsidR="00ED2CAC" w:rsidRPr="00ED2CAC" w14:paraId="6B977841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FBDC7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9054F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314</w:t>
            </w:r>
          </w:p>
          <w:p w14:paraId="0C190B4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75.85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2AACA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100</w:t>
            </w:r>
          </w:p>
          <w:p w14:paraId="27EED4D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24.15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8CEB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414</w:t>
            </w:r>
          </w:p>
          <w:p w14:paraId="1FCF37A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100.00</w:t>
            </w:r>
          </w:p>
        </w:tc>
      </w:tr>
      <w:tr w:rsidR="00ED2CAC" w:rsidRPr="00ED2CAC" w14:paraId="7CA1E28C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D4D5A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D335D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28</w:t>
            </w:r>
          </w:p>
          <w:p w14:paraId="43683D11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32.56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B9D8E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58</w:t>
            </w:r>
          </w:p>
          <w:p w14:paraId="1FD8050A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67.44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4609CE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86</w:t>
            </w:r>
          </w:p>
          <w:p w14:paraId="42F2EE04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100.00</w:t>
            </w:r>
          </w:p>
        </w:tc>
      </w:tr>
      <w:tr w:rsidR="00ED2CAC" w:rsidRPr="00ED2CAC" w14:paraId="1961A987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7CFF8E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4DD9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342</w:t>
            </w:r>
          </w:p>
          <w:p w14:paraId="67962FD0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68.40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B53ADF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158</w:t>
            </w:r>
          </w:p>
          <w:p w14:paraId="4EA03D99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31.60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80672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500</w:t>
            </w:r>
          </w:p>
          <w:p w14:paraId="55CC4AE2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100.00</w:t>
            </w:r>
          </w:p>
        </w:tc>
      </w:tr>
      <w:tr w:rsidR="00ED2CAC" w:rsidRPr="00ED2CAC" w14:paraId="40DFF338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16952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22615A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</w:t>
            </w:r>
          </w:p>
          <w:p w14:paraId="70FDAF7B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41F034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</w:t>
            </w:r>
          </w:p>
          <w:p w14:paraId="2FA8D1B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82E0C6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  <w:p w14:paraId="09F61713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</w:tr>
    </w:tbl>
    <w:p w14:paraId="6A827179" w14:textId="6BE1443E" w:rsidR="00ED2CAC" w:rsidRDefault="00ED2CAC" w:rsidP="00ED2CAC">
      <w:pPr>
        <w:spacing w:after="0"/>
        <w:rPr>
          <w:rFonts w:eastAsia="Times New Roman"/>
          <w:b/>
          <w:bCs/>
          <w:color w:val="auto"/>
          <w:lang w:val="en-KE" w:eastAsia="en-KE"/>
        </w:rPr>
      </w:pPr>
      <w:r>
        <w:rPr>
          <w:rFonts w:eastAsia="Times New Roman"/>
          <w:b/>
          <w:bCs/>
          <w:color w:val="auto"/>
          <w:lang w:val="en-KE" w:eastAsia="en-KE"/>
        </w:rPr>
        <w:t>Table 5.0</w:t>
      </w:r>
    </w:p>
    <w:p w14:paraId="7EE5C79C" w14:textId="5F6EB8E3" w:rsidR="00ED2CAC" w:rsidRPr="00ED2CAC" w:rsidRDefault="00ED2CAC" w:rsidP="00ED2CAC">
      <w:pPr>
        <w:spacing w:after="0"/>
        <w:rPr>
          <w:rFonts w:eastAsia="Times New Roman"/>
          <w:i/>
          <w:iCs/>
          <w:vanish/>
          <w:color w:val="auto"/>
          <w:lang w:val="en-KE" w:eastAsia="en-KE"/>
        </w:rPr>
      </w:pPr>
      <w:r w:rsidRPr="00ED2CAC">
        <w:rPr>
          <w:rFonts w:eastAsia="Times New Roman"/>
          <w:i/>
          <w:iCs/>
          <w:color w:val="auto"/>
          <w:lang w:val="en-KE" w:eastAsia="en-KE"/>
        </w:rPr>
        <w:t>Error Count Estimates for TARGET</w:t>
      </w:r>
    </w:p>
    <w:p w14:paraId="4969D698" w14:textId="77777777" w:rsidR="00ED2CAC" w:rsidRPr="00ED2CAC" w:rsidRDefault="00ED2CAC" w:rsidP="00101A6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726476CC" w14:textId="77777777" w:rsidR="00ED2CAC" w:rsidRPr="00ED2CAC" w:rsidRDefault="00ED2CAC" w:rsidP="00ED2CAC">
      <w:pPr>
        <w:spacing w:after="0" w:line="240" w:lineRule="auto"/>
        <w:rPr>
          <w:rFonts w:eastAsia="Times New Roman"/>
          <w:vanish/>
          <w:color w:val="auto"/>
          <w:lang w:val="en-KE" w:eastAsia="en-K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85"/>
        <w:gridCol w:w="885"/>
        <w:gridCol w:w="885"/>
      </w:tblGrid>
      <w:tr w:rsidR="00ED2CAC" w:rsidRPr="00ED2CAC" w14:paraId="76D9C757" w14:textId="77777777" w:rsidTr="00ED2CAC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2E6B5F" w14:textId="77777777" w:rsidR="00ED2CAC" w:rsidRPr="00ED2CAC" w:rsidRDefault="00ED2CAC" w:rsidP="00ED2CA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bookmarkStart w:id="3" w:name="_Hlk167393552"/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Error Count Estimates for TARGET</w:t>
            </w:r>
            <w:bookmarkEnd w:id="3"/>
          </w:p>
        </w:tc>
      </w:tr>
      <w:tr w:rsidR="00ED2CAC" w:rsidRPr="00ED2CAC" w14:paraId="6D39B8D8" w14:textId="77777777" w:rsidTr="00ED2CA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C15EC7" w14:textId="77777777" w:rsidR="00ED2CAC" w:rsidRPr="00ED2CAC" w:rsidRDefault="00ED2CAC" w:rsidP="00ED2CAC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5DA9AB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42F9DB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78469D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Total</w:t>
            </w:r>
          </w:p>
        </w:tc>
      </w:tr>
      <w:tr w:rsidR="00ED2CAC" w:rsidRPr="00ED2CAC" w14:paraId="469C23E3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751F11" w14:textId="77777777" w:rsidR="00ED2CAC" w:rsidRPr="00ED2CAC" w:rsidRDefault="00ED2CAC" w:rsidP="00ED2CA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35BEE5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0.2415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92A5C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0.3256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AFD17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0.2836</w:t>
            </w:r>
          </w:p>
        </w:tc>
      </w:tr>
      <w:tr w:rsidR="00ED2CAC" w:rsidRPr="00ED2CAC" w14:paraId="554C60D6" w14:textId="77777777" w:rsidTr="00ED2CA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98EB5" w14:textId="77777777" w:rsidR="00ED2CAC" w:rsidRPr="00ED2CAC" w:rsidRDefault="00ED2CAC" w:rsidP="00ED2CA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val="en-KE" w:eastAsia="en-KE"/>
              </w:rPr>
              <w:lastRenderedPageBreak/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4AE63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22F6E2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664406" w14:textId="77777777" w:rsidR="00ED2CAC" w:rsidRPr="00ED2CAC" w:rsidRDefault="00ED2CAC" w:rsidP="00ED2CA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</w:pPr>
            <w:r w:rsidRPr="00ED2CAC">
              <w:rPr>
                <w:rFonts w:ascii="Arial" w:eastAsia="Times New Roman" w:hAnsi="Arial" w:cs="Arial"/>
                <w:color w:val="auto"/>
                <w:sz w:val="20"/>
                <w:szCs w:val="20"/>
                <w:lang w:val="en-KE" w:eastAsia="en-KE"/>
              </w:rPr>
              <w:t> </w:t>
            </w:r>
          </w:p>
        </w:tc>
      </w:tr>
    </w:tbl>
    <w:p w14:paraId="3BFA16E0" w14:textId="77777777" w:rsidR="0065585D" w:rsidRPr="0065585D" w:rsidRDefault="0065585D" w:rsidP="0065585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53491758" w14:textId="73AEB9FC" w:rsidR="0065585D" w:rsidRPr="00DE6830" w:rsidRDefault="0065585D" w:rsidP="0065585D">
      <w:pPr>
        <w:numPr>
          <w:ilvl w:val="0"/>
          <w:numId w:val="6"/>
        </w:numPr>
        <w:spacing w:before="240" w:after="240"/>
        <w:rPr>
          <w:rFonts w:eastAsia="Times New Roman"/>
          <w:b/>
          <w:bCs/>
          <w:color w:val="auto"/>
          <w:lang w:val="en-KE" w:eastAsia="en-KE"/>
        </w:rPr>
      </w:pPr>
      <w:r w:rsidRPr="0065585D">
        <w:rPr>
          <w:rFonts w:eastAsia="Times New Roman"/>
          <w:color w:val="auto"/>
          <w:lang w:val="en-KE" w:eastAsia="en-KE"/>
        </w:rPr>
        <w:t>linear discriminant analysis</w:t>
      </w:r>
      <w:r>
        <w:rPr>
          <w:rFonts w:eastAsia="Times New Roman"/>
          <w:color w:val="auto"/>
          <w:lang w:val="en-KE" w:eastAsia="en-KE"/>
        </w:rPr>
        <w:t xml:space="preserve"> is more preferable than the </w:t>
      </w:r>
      <w:r w:rsidRPr="0065585D">
        <w:rPr>
          <w:rFonts w:eastAsia="Times New Roman"/>
          <w:color w:val="auto"/>
          <w:lang w:val="en-KE" w:eastAsia="en-KE"/>
        </w:rPr>
        <w:t>quadratic discriminant analysis</w:t>
      </w:r>
      <w:r>
        <w:rPr>
          <w:rFonts w:eastAsia="Times New Roman"/>
          <w:color w:val="auto"/>
          <w:lang w:val="en-KE" w:eastAsia="en-KE"/>
        </w:rPr>
        <w:t xml:space="preserve"> method since the LDA results satisfies the assumption of equality of the </w:t>
      </w:r>
      <w:r w:rsidRPr="0065585D">
        <w:rPr>
          <w:rFonts w:eastAsia="Times New Roman"/>
          <w:color w:val="auto"/>
          <w:lang w:eastAsia="en-KE"/>
        </w:rPr>
        <w:t>covariance matrices</w:t>
      </w:r>
      <w:r>
        <w:rPr>
          <w:rFonts w:eastAsia="Times New Roman"/>
          <w:color w:val="auto"/>
          <w:lang w:eastAsia="en-KE"/>
        </w:rPr>
        <w:t xml:space="preserve"> of the two classes. The assumption of </w:t>
      </w:r>
      <w:r>
        <w:rPr>
          <w:rFonts w:eastAsia="Times New Roman"/>
          <w:color w:val="auto"/>
          <w:lang w:val="en-KE" w:eastAsia="en-KE"/>
        </w:rPr>
        <w:t xml:space="preserve">linearity holds for the data, this implies that </w:t>
      </w:r>
      <w:r>
        <w:rPr>
          <w:rFonts w:eastAsia="Times New Roman"/>
          <w:color w:val="auto"/>
          <w:lang w:eastAsia="en-KE"/>
        </w:rPr>
        <w:t>the method</w:t>
      </w:r>
      <w:r w:rsidRPr="0065585D">
        <w:rPr>
          <w:rFonts w:eastAsia="Times New Roman"/>
          <w:color w:val="auto"/>
          <w:lang w:eastAsia="en-KE"/>
        </w:rPr>
        <w:t xml:space="preserve"> finds a linear combination of the predictor variables that best separates the classes.</w:t>
      </w:r>
      <w:r w:rsidR="00C71CA8">
        <w:rPr>
          <w:rFonts w:eastAsia="Times New Roman"/>
          <w:color w:val="auto"/>
          <w:lang w:eastAsia="en-KE"/>
        </w:rPr>
        <w:t xml:space="preserve"> Based on the visual inspection, the </w:t>
      </w:r>
      <w:r w:rsidR="00C71CA8" w:rsidRPr="00C71CA8">
        <w:rPr>
          <w:rFonts w:eastAsia="Times New Roman"/>
          <w:color w:val="auto"/>
          <w:lang w:eastAsia="en-KE"/>
        </w:rPr>
        <w:t>assumption</w:t>
      </w:r>
      <w:r w:rsidR="00C71CA8">
        <w:rPr>
          <w:rFonts w:eastAsia="Times New Roman"/>
          <w:color w:val="auto"/>
          <w:lang w:eastAsia="en-KE"/>
        </w:rPr>
        <w:t xml:space="preserve"> of linearity</w:t>
      </w:r>
      <w:r w:rsidR="00C71CA8" w:rsidRPr="00C71CA8">
        <w:rPr>
          <w:rFonts w:eastAsia="Times New Roman"/>
          <w:color w:val="auto"/>
          <w:lang w:eastAsia="en-KE"/>
        </w:rPr>
        <w:t xml:space="preserve"> is reasonable for the </w:t>
      </w:r>
      <w:r w:rsidR="00C71CA8">
        <w:rPr>
          <w:rFonts w:eastAsia="Times New Roman"/>
          <w:color w:val="auto"/>
          <w:lang w:eastAsia="en-KE"/>
        </w:rPr>
        <w:t xml:space="preserve">most important variables. </w:t>
      </w:r>
      <w:r w:rsidR="00C71CA8" w:rsidRPr="00C71CA8">
        <w:rPr>
          <w:rFonts w:eastAsia="Times New Roman"/>
          <w:color w:val="auto"/>
          <w:lang w:eastAsia="en-KE"/>
        </w:rPr>
        <w:t>In practical applications, especially in financial and consumer credit analysis, simpler models that are easy to explain to stakeholders are often preferred</w:t>
      </w:r>
      <w:r w:rsidR="00C71CA8">
        <w:rPr>
          <w:rFonts w:eastAsia="Times New Roman"/>
          <w:color w:val="auto"/>
          <w:lang w:eastAsia="en-KE"/>
        </w:rPr>
        <w:t xml:space="preserve">. </w:t>
      </w:r>
      <w:r w:rsidR="00C71CA8" w:rsidRPr="00C71CA8">
        <w:rPr>
          <w:rFonts w:eastAsia="Times New Roman"/>
          <w:color w:val="auto"/>
          <w:lang w:eastAsia="en-KE"/>
        </w:rPr>
        <w:t xml:space="preserve">The performance difference between </w:t>
      </w:r>
      <w:r w:rsidR="00C71CA8">
        <w:rPr>
          <w:rFonts w:eastAsia="Times New Roman"/>
          <w:color w:val="auto"/>
          <w:lang w:eastAsia="en-KE"/>
        </w:rPr>
        <w:t xml:space="preserve">the two methods </w:t>
      </w:r>
      <w:r w:rsidR="00C71CA8" w:rsidRPr="00C71CA8">
        <w:rPr>
          <w:rFonts w:eastAsia="Times New Roman"/>
          <w:color w:val="auto"/>
          <w:lang w:eastAsia="en-KE"/>
        </w:rPr>
        <w:t>is not substantial enough to warrant the additional complexity of QDA</w:t>
      </w:r>
      <w:r w:rsidR="00C71CA8">
        <w:rPr>
          <w:rFonts w:eastAsia="Times New Roman"/>
          <w:color w:val="auto"/>
          <w:lang w:eastAsia="en-KE"/>
        </w:rPr>
        <w:t>.</w:t>
      </w:r>
    </w:p>
    <w:p w14:paraId="51252117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1A97EBA8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77FCF7F8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302FFECD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37E165D4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3DBC2695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6A60CB69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2699364D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46CC5B45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3D7E430A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0F414B52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4B2B1C15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0E755370" w14:textId="77777777" w:rsidR="00DE6830" w:rsidRDefault="00DE6830" w:rsidP="00DE6830">
      <w:pPr>
        <w:spacing w:before="240" w:after="240"/>
        <w:rPr>
          <w:rFonts w:eastAsia="Times New Roman"/>
          <w:color w:val="auto"/>
          <w:lang w:eastAsia="en-KE"/>
        </w:rPr>
      </w:pPr>
    </w:p>
    <w:p w14:paraId="3CACFBE0" w14:textId="372C7E7F" w:rsidR="00DE6830" w:rsidRDefault="00DE6830" w:rsidP="00DE6830">
      <w:pPr>
        <w:spacing w:before="240" w:after="240"/>
        <w:jc w:val="center"/>
        <w:rPr>
          <w:rFonts w:eastAsia="Times New Roman"/>
          <w:b/>
          <w:bCs/>
          <w:color w:val="auto"/>
          <w:sz w:val="28"/>
          <w:szCs w:val="28"/>
          <w:lang w:eastAsia="en-KE"/>
        </w:rPr>
      </w:pPr>
      <w:r w:rsidRPr="00DE6830">
        <w:rPr>
          <w:rFonts w:eastAsia="Times New Roman"/>
          <w:b/>
          <w:bCs/>
          <w:color w:val="auto"/>
          <w:sz w:val="28"/>
          <w:szCs w:val="28"/>
          <w:lang w:eastAsia="en-KE"/>
        </w:rPr>
        <w:t>References</w:t>
      </w:r>
    </w:p>
    <w:p w14:paraId="2A539CF7" w14:textId="77777777" w:rsidR="00AC0688" w:rsidRDefault="00AC0688" w:rsidP="00AC0688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Discriminant Function Analysis | SAS Data Analysis Examples</w:t>
      </w:r>
      <w:r>
        <w:t xml:space="preserve">. (2018). </w:t>
      </w:r>
      <w:hyperlink r:id="rId8" w:history="1">
        <w:r w:rsidRPr="008D0449">
          <w:rPr>
            <w:rStyle w:val="Hyperlink"/>
          </w:rPr>
          <w:t>https://stats.oarc.ucla.edu/sas/dae/discriminant-function-analysis/</w:t>
        </w:r>
      </w:hyperlink>
      <w:r>
        <w:rPr>
          <w:rStyle w:val="url"/>
        </w:rPr>
        <w:t xml:space="preserve"> </w:t>
      </w:r>
    </w:p>
    <w:p w14:paraId="64B988D1" w14:textId="77777777" w:rsidR="00AC0688" w:rsidRDefault="00AC0688" w:rsidP="00AC0688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Fisher’s linear discriminant functions</w:t>
      </w:r>
      <w:r>
        <w:t xml:space="preserve">. (2018, April 6). </w:t>
      </w:r>
      <w:hyperlink r:id="rId9" w:history="1">
        <w:r w:rsidRPr="008D0449">
          <w:rPr>
            <w:rStyle w:val="Hyperlink"/>
          </w:rPr>
          <w:t>https://communities.sas.com/t5/Statistical-Procedures/Fisher-s-linear-discriminant-functions/td-p/451752</w:t>
        </w:r>
      </w:hyperlink>
      <w:r>
        <w:t xml:space="preserve"> </w:t>
      </w:r>
    </w:p>
    <w:p w14:paraId="669E52E7" w14:textId="77777777" w:rsidR="00DE6830" w:rsidRDefault="00DE6830" w:rsidP="00DE6830">
      <w:pPr>
        <w:pStyle w:val="NormalWeb"/>
        <w:spacing w:before="0" w:beforeAutospacing="0" w:after="0" w:afterAutospacing="0" w:line="480" w:lineRule="auto"/>
        <w:ind w:left="720" w:hanging="720"/>
      </w:pPr>
    </w:p>
    <w:p w14:paraId="521E162E" w14:textId="77777777" w:rsidR="00DE6830" w:rsidRPr="00DE6830" w:rsidRDefault="00DE6830" w:rsidP="00DE6830">
      <w:pPr>
        <w:spacing w:before="240" w:after="240"/>
        <w:rPr>
          <w:rFonts w:eastAsia="Times New Roman"/>
          <w:color w:val="auto"/>
          <w:sz w:val="28"/>
          <w:szCs w:val="28"/>
          <w:lang w:eastAsia="en-KE"/>
        </w:rPr>
      </w:pPr>
    </w:p>
    <w:p w14:paraId="5AC39A4A" w14:textId="77777777" w:rsidR="00DE6830" w:rsidRPr="0065585D" w:rsidRDefault="00DE6830" w:rsidP="00DE6830">
      <w:pPr>
        <w:spacing w:before="240" w:after="240"/>
        <w:rPr>
          <w:rFonts w:eastAsia="Times New Roman"/>
          <w:b/>
          <w:bCs/>
          <w:color w:val="auto"/>
          <w:lang w:val="en-KE" w:eastAsia="en-KE"/>
        </w:rPr>
      </w:pPr>
    </w:p>
    <w:p w14:paraId="3F57987E" w14:textId="36117AD6" w:rsidR="0065585D" w:rsidRPr="0065585D" w:rsidRDefault="0065585D" w:rsidP="0065585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044C507E" w14:textId="1E81EC1F" w:rsidR="0065585D" w:rsidRPr="0065585D" w:rsidRDefault="0065585D" w:rsidP="0065585D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7943CA32" w14:textId="7B0D3112" w:rsidR="00ED2CAC" w:rsidRPr="00ED2CAC" w:rsidRDefault="00ED2CAC" w:rsidP="00ED2CAC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1B0B7592" w14:textId="38B0E05E" w:rsidR="00B92005" w:rsidRPr="00B92005" w:rsidRDefault="00B92005" w:rsidP="00B92005">
      <w:pPr>
        <w:numPr>
          <w:ilvl w:val="0"/>
          <w:numId w:val="6"/>
        </w:numPr>
        <w:spacing w:before="240" w:after="240"/>
        <w:rPr>
          <w:rFonts w:eastAsia="Times New Roman"/>
          <w:color w:val="auto"/>
          <w:lang w:val="en-KE" w:eastAsia="en-KE"/>
        </w:rPr>
      </w:pPr>
    </w:p>
    <w:p w14:paraId="3DCB838F" w14:textId="77777777" w:rsidR="00B92005" w:rsidRPr="00B92005" w:rsidRDefault="00B92005" w:rsidP="0019193B">
      <w:pPr>
        <w:spacing w:before="240" w:after="240"/>
        <w:rPr>
          <w:rFonts w:eastAsia="Times New Roman"/>
          <w:color w:val="auto"/>
          <w:lang w:val="en-KE" w:eastAsia="en-KE"/>
        </w:rPr>
      </w:pPr>
    </w:p>
    <w:sectPr w:rsidR="00B92005" w:rsidRPr="00B92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310C6" w14:textId="77777777" w:rsidR="002F60C6" w:rsidRDefault="002F60C6" w:rsidP="00E36159">
      <w:pPr>
        <w:spacing w:after="0" w:line="240" w:lineRule="auto"/>
      </w:pPr>
      <w:r>
        <w:separator/>
      </w:r>
    </w:p>
  </w:endnote>
  <w:endnote w:type="continuationSeparator" w:id="0">
    <w:p w14:paraId="516C2BE1" w14:textId="77777777" w:rsidR="002F60C6" w:rsidRDefault="002F60C6" w:rsidP="00E3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1737A" w14:textId="77777777" w:rsidR="002F60C6" w:rsidRDefault="002F60C6" w:rsidP="00E36159">
      <w:pPr>
        <w:spacing w:after="0" w:line="240" w:lineRule="auto"/>
      </w:pPr>
      <w:r>
        <w:separator/>
      </w:r>
    </w:p>
  </w:footnote>
  <w:footnote w:type="continuationSeparator" w:id="0">
    <w:p w14:paraId="6E6F9EC8" w14:textId="77777777" w:rsidR="002F60C6" w:rsidRDefault="002F60C6" w:rsidP="00E36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1D599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10EF4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EF5264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7DB6B59"/>
    <w:multiLevelType w:val="hybridMultilevel"/>
    <w:tmpl w:val="D4DA589E"/>
    <w:lvl w:ilvl="0" w:tplc="411091F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D11D7"/>
    <w:multiLevelType w:val="hybridMultilevel"/>
    <w:tmpl w:val="57245B3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C4CCF"/>
    <w:multiLevelType w:val="hybridMultilevel"/>
    <w:tmpl w:val="B594A05A"/>
    <w:lvl w:ilvl="0" w:tplc="81507AF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74B6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D7500D2"/>
    <w:multiLevelType w:val="multilevel"/>
    <w:tmpl w:val="315E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C1313E"/>
    <w:multiLevelType w:val="multilevel"/>
    <w:tmpl w:val="8BE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4B64DD"/>
    <w:multiLevelType w:val="hybridMultilevel"/>
    <w:tmpl w:val="A9C43240"/>
    <w:lvl w:ilvl="0" w:tplc="81507A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1553C"/>
    <w:multiLevelType w:val="hybridMultilevel"/>
    <w:tmpl w:val="F486597E"/>
    <w:lvl w:ilvl="0" w:tplc="734809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193D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4281926">
    <w:abstractNumId w:val="3"/>
  </w:num>
  <w:num w:numId="2" w16cid:durableId="1641495055">
    <w:abstractNumId w:val="4"/>
  </w:num>
  <w:num w:numId="3" w16cid:durableId="446047535">
    <w:abstractNumId w:val="9"/>
  </w:num>
  <w:num w:numId="4" w16cid:durableId="843203228">
    <w:abstractNumId w:val="5"/>
  </w:num>
  <w:num w:numId="5" w16cid:durableId="1846630046">
    <w:abstractNumId w:val="10"/>
  </w:num>
  <w:num w:numId="6" w16cid:durableId="1981184565">
    <w:abstractNumId w:val="2"/>
  </w:num>
  <w:num w:numId="7" w16cid:durableId="757867938">
    <w:abstractNumId w:val="8"/>
  </w:num>
  <w:num w:numId="8" w16cid:durableId="1963923274">
    <w:abstractNumId w:val="7"/>
  </w:num>
  <w:num w:numId="9" w16cid:durableId="1338922908">
    <w:abstractNumId w:val="6"/>
  </w:num>
  <w:num w:numId="10" w16cid:durableId="21712844">
    <w:abstractNumId w:val="1"/>
  </w:num>
  <w:num w:numId="11" w16cid:durableId="865296149">
    <w:abstractNumId w:val="0"/>
  </w:num>
  <w:num w:numId="12" w16cid:durableId="1763185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F"/>
    <w:rsid w:val="000037CD"/>
    <w:rsid w:val="0019193B"/>
    <w:rsid w:val="001B16E9"/>
    <w:rsid w:val="001D40A1"/>
    <w:rsid w:val="00213621"/>
    <w:rsid w:val="002F60C6"/>
    <w:rsid w:val="0032698B"/>
    <w:rsid w:val="00406E36"/>
    <w:rsid w:val="00423CFC"/>
    <w:rsid w:val="00467C70"/>
    <w:rsid w:val="0052070B"/>
    <w:rsid w:val="005D06D0"/>
    <w:rsid w:val="0065585D"/>
    <w:rsid w:val="00693880"/>
    <w:rsid w:val="006D7AFE"/>
    <w:rsid w:val="0070413F"/>
    <w:rsid w:val="00743CA5"/>
    <w:rsid w:val="00757EA7"/>
    <w:rsid w:val="0081112A"/>
    <w:rsid w:val="00856E0F"/>
    <w:rsid w:val="008A1498"/>
    <w:rsid w:val="009C65FF"/>
    <w:rsid w:val="00A6271D"/>
    <w:rsid w:val="00AC0688"/>
    <w:rsid w:val="00B92005"/>
    <w:rsid w:val="00BB14F7"/>
    <w:rsid w:val="00C71CA8"/>
    <w:rsid w:val="00CF4CA3"/>
    <w:rsid w:val="00CF69C4"/>
    <w:rsid w:val="00DE6830"/>
    <w:rsid w:val="00E3182A"/>
    <w:rsid w:val="00E36159"/>
    <w:rsid w:val="00E4539C"/>
    <w:rsid w:val="00E73521"/>
    <w:rsid w:val="00E82DF8"/>
    <w:rsid w:val="00ED2CAC"/>
    <w:rsid w:val="00F1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2ACE"/>
  <w15:chartTrackingRefBased/>
  <w15:docId w15:val="{403A0D65-2F7F-4B04-9EF2-1E7DCE65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2A"/>
    <w:pPr>
      <w:ind w:left="720"/>
      <w:contextualSpacing/>
    </w:pPr>
  </w:style>
  <w:style w:type="paragraph" w:customStyle="1" w:styleId="c">
    <w:name w:val="c"/>
    <w:basedOn w:val="Normal"/>
    <w:rsid w:val="0081112A"/>
    <w:pPr>
      <w:spacing w:before="100" w:beforeAutospacing="1" w:after="100" w:afterAutospacing="1" w:line="240" w:lineRule="auto"/>
    </w:pPr>
    <w:rPr>
      <w:rFonts w:eastAsia="Times New Roman"/>
      <w:color w:val="auto"/>
      <w:lang w:val="en-KE" w:eastAsia="en-KE"/>
    </w:rPr>
  </w:style>
  <w:style w:type="character" w:styleId="Strong">
    <w:name w:val="Strong"/>
    <w:basedOn w:val="DefaultParagraphFont"/>
    <w:uiPriority w:val="22"/>
    <w:qFormat/>
    <w:rsid w:val="0019193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423CFC"/>
    <w:pPr>
      <w:autoSpaceDE w:val="0"/>
      <w:autoSpaceDN w:val="0"/>
      <w:adjustRightInd w:val="0"/>
      <w:spacing w:after="0" w:line="240" w:lineRule="auto"/>
    </w:pPr>
    <w:rPr>
      <w:color w:val="000000"/>
      <w:lang w:val="en-KE"/>
    </w:rPr>
  </w:style>
  <w:style w:type="paragraph" w:styleId="Header">
    <w:name w:val="header"/>
    <w:basedOn w:val="Normal"/>
    <w:link w:val="HeaderChar"/>
    <w:uiPriority w:val="99"/>
    <w:unhideWhenUsed/>
    <w:rsid w:val="00E36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159"/>
  </w:style>
  <w:style w:type="paragraph" w:styleId="Footer">
    <w:name w:val="footer"/>
    <w:basedOn w:val="Normal"/>
    <w:link w:val="FooterChar"/>
    <w:uiPriority w:val="99"/>
    <w:unhideWhenUsed/>
    <w:rsid w:val="00E36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159"/>
  </w:style>
  <w:style w:type="paragraph" w:styleId="NormalWeb">
    <w:name w:val="Normal (Web)"/>
    <w:basedOn w:val="Normal"/>
    <w:uiPriority w:val="99"/>
    <w:semiHidden/>
    <w:unhideWhenUsed/>
    <w:rsid w:val="00DE6830"/>
    <w:pPr>
      <w:spacing w:before="100" w:beforeAutospacing="1" w:after="100" w:afterAutospacing="1" w:line="240" w:lineRule="auto"/>
    </w:pPr>
    <w:rPr>
      <w:rFonts w:eastAsia="Times New Roman"/>
      <w:color w:val="auto"/>
      <w:lang w:val="en-KE" w:eastAsia="en-KE"/>
    </w:rPr>
  </w:style>
  <w:style w:type="character" w:customStyle="1" w:styleId="url">
    <w:name w:val="url"/>
    <w:basedOn w:val="DefaultParagraphFont"/>
    <w:rsid w:val="00DE6830"/>
  </w:style>
  <w:style w:type="character" w:styleId="Hyperlink">
    <w:name w:val="Hyperlink"/>
    <w:basedOn w:val="DefaultParagraphFont"/>
    <w:uiPriority w:val="99"/>
    <w:unhideWhenUsed/>
    <w:rsid w:val="00DE6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4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5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3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101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939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3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155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87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oarc.ucla.edu/sas/dae/discriminant-function-analys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ies.sas.com/t5/Statistical-Procedures/Fisher-s-linear-discriminant-functions/td-p/451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27</cp:revision>
  <dcterms:created xsi:type="dcterms:W3CDTF">2024-05-23T16:54:00Z</dcterms:created>
  <dcterms:modified xsi:type="dcterms:W3CDTF">2024-05-24T07:11:00Z</dcterms:modified>
</cp:coreProperties>
</file>