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D2EFD" w14:textId="77777777" w:rsidR="00B056CC" w:rsidRPr="001C67D4" w:rsidRDefault="00B056CC" w:rsidP="00412C93">
      <w:pPr>
        <w:rPr>
          <w:rFonts w:asciiTheme="majorHAnsi" w:hAnsiTheme="majorHAnsi" w:cs="Times New Roman"/>
          <w:sz w:val="22"/>
          <w:szCs w:val="22"/>
        </w:rPr>
      </w:pPr>
      <w:r w:rsidRPr="001C67D4">
        <w:rPr>
          <w:rFonts w:asciiTheme="majorHAnsi" w:hAnsiTheme="majorHAnsi" w:cs="Times New Roman"/>
          <w:sz w:val="22"/>
          <w:szCs w:val="22"/>
        </w:rPr>
        <w:t>Mie Inouye</w:t>
      </w:r>
    </w:p>
    <w:p w14:paraId="17E0696B" w14:textId="3134FFE0" w:rsidR="00B056CC" w:rsidRPr="001C67D4" w:rsidRDefault="00B056CC" w:rsidP="00412C93">
      <w:pPr>
        <w:rPr>
          <w:rFonts w:asciiTheme="majorHAnsi" w:hAnsiTheme="majorHAnsi" w:cs="Times New Roman"/>
          <w:sz w:val="22"/>
          <w:szCs w:val="22"/>
        </w:rPr>
      </w:pPr>
      <w:r w:rsidRPr="001C67D4">
        <w:rPr>
          <w:rFonts w:asciiTheme="majorHAnsi" w:hAnsiTheme="majorHAnsi" w:cs="Times New Roman"/>
          <w:sz w:val="22"/>
          <w:szCs w:val="22"/>
        </w:rPr>
        <w:t xml:space="preserve">Divestment Brief </w:t>
      </w:r>
      <w:r w:rsidR="003650A8">
        <w:rPr>
          <w:rFonts w:asciiTheme="majorHAnsi" w:hAnsiTheme="majorHAnsi" w:cs="Times New Roman"/>
          <w:sz w:val="22"/>
          <w:szCs w:val="22"/>
        </w:rPr>
        <w:t>3.b-d, v. 2</w:t>
      </w:r>
    </w:p>
    <w:p w14:paraId="1738E89E" w14:textId="218F0752" w:rsidR="00B056CC" w:rsidRPr="001C67D4" w:rsidRDefault="00D12ACB" w:rsidP="00412C93">
      <w:pPr>
        <w:rPr>
          <w:rFonts w:asciiTheme="majorHAnsi" w:hAnsiTheme="majorHAnsi" w:cs="Times New Roman"/>
          <w:sz w:val="22"/>
          <w:szCs w:val="22"/>
        </w:rPr>
      </w:pPr>
      <w:r>
        <w:rPr>
          <w:rFonts w:asciiTheme="majorHAnsi" w:hAnsiTheme="majorHAnsi" w:cs="Times New Roman"/>
          <w:sz w:val="22"/>
          <w:szCs w:val="22"/>
        </w:rPr>
        <w:t>March 12</w:t>
      </w:r>
      <w:r w:rsidR="003650A8">
        <w:rPr>
          <w:rFonts w:asciiTheme="majorHAnsi" w:hAnsiTheme="majorHAnsi" w:cs="Times New Roman"/>
          <w:sz w:val="22"/>
          <w:szCs w:val="22"/>
        </w:rPr>
        <w:t>, 2013</w:t>
      </w:r>
      <w:bookmarkStart w:id="0" w:name="_GoBack"/>
      <w:bookmarkEnd w:id="0"/>
    </w:p>
    <w:p w14:paraId="7D40B875" w14:textId="77777777" w:rsidR="00B056CC" w:rsidRDefault="00B056CC" w:rsidP="00412C93">
      <w:pPr>
        <w:rPr>
          <w:rFonts w:asciiTheme="majorHAnsi" w:hAnsiTheme="majorHAnsi" w:cs="Times New Roman"/>
          <w:b/>
          <w:sz w:val="22"/>
          <w:szCs w:val="22"/>
        </w:rPr>
      </w:pPr>
    </w:p>
    <w:p w14:paraId="64D6A179" w14:textId="77777777" w:rsidR="003650A8" w:rsidRDefault="00412C93" w:rsidP="00412C93">
      <w:pPr>
        <w:rPr>
          <w:rFonts w:asciiTheme="majorHAnsi" w:hAnsiTheme="majorHAnsi" w:cs="Times New Roman"/>
          <w:sz w:val="22"/>
          <w:szCs w:val="22"/>
        </w:rPr>
      </w:pPr>
      <w:r w:rsidRPr="0075758C">
        <w:rPr>
          <w:rFonts w:asciiTheme="majorHAnsi" w:hAnsiTheme="majorHAnsi" w:cs="Times New Roman"/>
          <w:sz w:val="22"/>
          <w:szCs w:val="22"/>
        </w:rPr>
        <w:t>3.b/c.</w:t>
      </w:r>
      <w:r w:rsidRPr="00B056CC">
        <w:rPr>
          <w:rFonts w:asciiTheme="majorHAnsi" w:hAnsiTheme="majorHAnsi" w:cs="Times New Roman"/>
          <w:sz w:val="22"/>
          <w:szCs w:val="22"/>
        </w:rPr>
        <w:t xml:space="preserve">  </w:t>
      </w:r>
    </w:p>
    <w:p w14:paraId="36F15026" w14:textId="2015CA40" w:rsidR="004941DA" w:rsidRPr="00B056CC" w:rsidRDefault="004941DA" w:rsidP="003650A8">
      <w:pPr>
        <w:ind w:firstLine="720"/>
        <w:rPr>
          <w:rFonts w:asciiTheme="majorHAnsi" w:hAnsiTheme="majorHAnsi" w:cs="Times New Roman"/>
          <w:sz w:val="22"/>
          <w:szCs w:val="22"/>
        </w:rPr>
      </w:pPr>
      <w:r w:rsidRPr="00B056CC">
        <w:rPr>
          <w:rFonts w:asciiTheme="majorHAnsi" w:hAnsiTheme="majorHAnsi" w:cs="Times New Roman"/>
          <w:sz w:val="22"/>
          <w:szCs w:val="22"/>
        </w:rPr>
        <w:t xml:space="preserve">Divestment is the </w:t>
      </w:r>
      <w:r w:rsidRPr="003650A8">
        <w:rPr>
          <w:rFonts w:asciiTheme="majorHAnsi" w:hAnsiTheme="majorHAnsi" w:cs="Times New Roman"/>
          <w:sz w:val="22"/>
          <w:szCs w:val="22"/>
        </w:rPr>
        <w:t xml:space="preserve">only way </w:t>
      </w:r>
      <w:r w:rsidR="005C6F50" w:rsidRPr="003650A8">
        <w:rPr>
          <w:rFonts w:asciiTheme="majorHAnsi" w:hAnsiTheme="majorHAnsi" w:cs="Times New Roman"/>
          <w:sz w:val="22"/>
          <w:szCs w:val="22"/>
        </w:rPr>
        <w:t xml:space="preserve">for the University </w:t>
      </w:r>
      <w:r w:rsidRPr="003650A8">
        <w:rPr>
          <w:rFonts w:asciiTheme="majorHAnsi" w:hAnsiTheme="majorHAnsi" w:cs="Times New Roman"/>
          <w:sz w:val="22"/>
          <w:szCs w:val="22"/>
        </w:rPr>
        <w:t xml:space="preserve">to avoid </w:t>
      </w:r>
      <w:r w:rsidR="004443E8">
        <w:rPr>
          <w:rFonts w:asciiTheme="majorHAnsi" w:hAnsiTheme="majorHAnsi" w:cs="Times New Roman"/>
          <w:sz w:val="22"/>
          <w:szCs w:val="22"/>
        </w:rPr>
        <w:t>contributing</w:t>
      </w:r>
      <w:r w:rsidR="005C6F50" w:rsidRPr="003650A8">
        <w:rPr>
          <w:rFonts w:asciiTheme="majorHAnsi" w:hAnsiTheme="majorHAnsi" w:cs="Times New Roman"/>
          <w:sz w:val="22"/>
          <w:szCs w:val="22"/>
        </w:rPr>
        <w:t xml:space="preserve"> financial</w:t>
      </w:r>
      <w:r w:rsidR="004443E8">
        <w:rPr>
          <w:rFonts w:asciiTheme="majorHAnsi" w:hAnsiTheme="majorHAnsi" w:cs="Times New Roman"/>
          <w:sz w:val="22"/>
          <w:szCs w:val="22"/>
        </w:rPr>
        <w:t>ly</w:t>
      </w:r>
      <w:r w:rsidR="005C6F50" w:rsidRPr="003650A8">
        <w:rPr>
          <w:rFonts w:asciiTheme="majorHAnsi" w:hAnsiTheme="majorHAnsi" w:cs="Times New Roman"/>
          <w:sz w:val="22"/>
          <w:szCs w:val="22"/>
        </w:rPr>
        <w:t xml:space="preserve"> to the fossil fuel industry, and by extension, to </w:t>
      </w:r>
      <w:r w:rsidRPr="003650A8">
        <w:rPr>
          <w:rFonts w:asciiTheme="majorHAnsi" w:hAnsiTheme="majorHAnsi" w:cs="Times New Roman"/>
          <w:sz w:val="22"/>
          <w:szCs w:val="22"/>
        </w:rPr>
        <w:t>the socially</w:t>
      </w:r>
      <w:r w:rsidRPr="00B056CC">
        <w:rPr>
          <w:rFonts w:asciiTheme="majorHAnsi" w:hAnsiTheme="majorHAnsi" w:cs="Times New Roman"/>
          <w:sz w:val="22"/>
          <w:szCs w:val="22"/>
        </w:rPr>
        <w:t xml:space="preserve"> injurious impacts delineated above.  </w:t>
      </w:r>
      <w:r w:rsidR="005C6F50" w:rsidRPr="003650A8">
        <w:rPr>
          <w:rFonts w:asciiTheme="majorHAnsi" w:hAnsiTheme="majorHAnsi" w:cs="Times New Roman"/>
          <w:sz w:val="22"/>
          <w:szCs w:val="22"/>
        </w:rPr>
        <w:t>Besides divestment,</w:t>
      </w:r>
      <w:r w:rsidR="005C6F50">
        <w:rPr>
          <w:rFonts w:asciiTheme="majorHAnsi" w:hAnsiTheme="majorHAnsi" w:cs="Times New Roman"/>
          <w:sz w:val="22"/>
          <w:szCs w:val="22"/>
        </w:rPr>
        <w:t xml:space="preserve"> another</w:t>
      </w:r>
      <w:r w:rsidRPr="00B056CC">
        <w:rPr>
          <w:rFonts w:asciiTheme="majorHAnsi" w:hAnsiTheme="majorHAnsi" w:cs="Times New Roman"/>
          <w:sz w:val="22"/>
          <w:szCs w:val="22"/>
        </w:rPr>
        <w:t xml:space="preserve"> approach to socially responsible investment is to try to </w:t>
      </w:r>
      <w:r w:rsidR="003C0EE7">
        <w:rPr>
          <w:rFonts w:asciiTheme="majorHAnsi" w:hAnsiTheme="majorHAnsi" w:cs="Times New Roman"/>
          <w:sz w:val="22"/>
          <w:szCs w:val="22"/>
        </w:rPr>
        <w:t>alter</w:t>
      </w:r>
      <w:r w:rsidRPr="00B056CC">
        <w:rPr>
          <w:rFonts w:asciiTheme="majorHAnsi" w:hAnsiTheme="majorHAnsi" w:cs="Times New Roman"/>
          <w:sz w:val="22"/>
          <w:szCs w:val="22"/>
        </w:rPr>
        <w:t xml:space="preserve"> a firm’s behavior </w:t>
      </w:r>
      <w:r w:rsidR="003C0EE7">
        <w:rPr>
          <w:rFonts w:asciiTheme="majorHAnsi" w:hAnsiTheme="majorHAnsi" w:cs="Times New Roman"/>
          <w:sz w:val="22"/>
          <w:szCs w:val="22"/>
        </w:rPr>
        <w:t>by applying pressure through</w:t>
      </w:r>
      <w:r w:rsidR="00412C93" w:rsidRPr="00B056CC">
        <w:rPr>
          <w:rFonts w:asciiTheme="majorHAnsi" w:hAnsiTheme="majorHAnsi" w:cs="Times New Roman"/>
          <w:sz w:val="22"/>
          <w:szCs w:val="22"/>
        </w:rPr>
        <w:t xml:space="preserve"> shareholder</w:t>
      </w:r>
      <w:r w:rsidR="003C0EE7">
        <w:rPr>
          <w:rFonts w:asciiTheme="majorHAnsi" w:hAnsiTheme="majorHAnsi" w:cs="Times New Roman"/>
          <w:sz w:val="22"/>
          <w:szCs w:val="22"/>
        </w:rPr>
        <w:t xml:space="preserve"> voice</w:t>
      </w:r>
      <w:r w:rsidR="004443E8">
        <w:rPr>
          <w:rFonts w:asciiTheme="majorHAnsi" w:hAnsiTheme="majorHAnsi" w:cs="Times New Roman"/>
          <w:sz w:val="22"/>
          <w:szCs w:val="22"/>
        </w:rPr>
        <w:t xml:space="preserve">.  However, </w:t>
      </w:r>
      <w:r w:rsidR="004443E8" w:rsidRPr="00B056CC">
        <w:rPr>
          <w:rFonts w:asciiTheme="majorHAnsi" w:hAnsiTheme="majorHAnsi" w:cs="Times New Roman"/>
          <w:sz w:val="22"/>
          <w:szCs w:val="22"/>
        </w:rPr>
        <w:t xml:space="preserve">the harmful activities (extracting and selling fossil fuels) are inherent to the primary business of </w:t>
      </w:r>
      <w:r w:rsidR="004443E8">
        <w:rPr>
          <w:rFonts w:asciiTheme="majorHAnsi" w:hAnsiTheme="majorHAnsi" w:cs="Times New Roman"/>
          <w:sz w:val="22"/>
          <w:szCs w:val="22"/>
        </w:rPr>
        <w:t xml:space="preserve">many of the fossil fuels </w:t>
      </w:r>
      <w:r w:rsidR="00412C93" w:rsidRPr="00B056CC">
        <w:rPr>
          <w:rFonts w:asciiTheme="majorHAnsi" w:hAnsiTheme="majorHAnsi" w:cs="Times New Roman"/>
          <w:sz w:val="22"/>
          <w:szCs w:val="22"/>
        </w:rPr>
        <w:t xml:space="preserve">companies </w:t>
      </w:r>
      <w:r w:rsidR="004443E8">
        <w:rPr>
          <w:rFonts w:asciiTheme="majorHAnsi" w:hAnsiTheme="majorHAnsi" w:cs="Times New Roman"/>
          <w:sz w:val="22"/>
          <w:szCs w:val="22"/>
        </w:rPr>
        <w:t>in which the University is invested</w:t>
      </w:r>
      <w:r w:rsidRPr="00B056CC">
        <w:rPr>
          <w:rFonts w:asciiTheme="majorHAnsi" w:hAnsiTheme="majorHAnsi" w:cs="Times New Roman"/>
          <w:sz w:val="22"/>
          <w:szCs w:val="22"/>
        </w:rPr>
        <w:t xml:space="preserve">.  </w:t>
      </w:r>
      <w:r w:rsidR="004443E8">
        <w:rPr>
          <w:rFonts w:asciiTheme="majorHAnsi" w:hAnsiTheme="majorHAnsi" w:cs="Times New Roman"/>
          <w:sz w:val="22"/>
          <w:szCs w:val="22"/>
        </w:rPr>
        <w:t xml:space="preserve">For example, </w:t>
      </w:r>
      <w:r w:rsidR="00412C93" w:rsidRPr="00B056CC">
        <w:rPr>
          <w:rFonts w:asciiTheme="majorHAnsi" w:hAnsiTheme="majorHAnsi" w:cs="Times New Roman"/>
          <w:sz w:val="22"/>
          <w:szCs w:val="22"/>
        </w:rPr>
        <w:t>Shell Canada list</w:t>
      </w:r>
      <w:r w:rsidR="00002AD0">
        <w:rPr>
          <w:rFonts w:asciiTheme="majorHAnsi" w:hAnsiTheme="majorHAnsi" w:cs="Times New Roman"/>
          <w:sz w:val="22"/>
          <w:szCs w:val="22"/>
        </w:rPr>
        <w:t>s</w:t>
      </w:r>
      <w:r w:rsidR="00412C93" w:rsidRPr="00B056CC">
        <w:rPr>
          <w:rFonts w:asciiTheme="majorHAnsi" w:hAnsiTheme="majorHAnsi" w:cs="Times New Roman"/>
          <w:sz w:val="22"/>
          <w:szCs w:val="22"/>
        </w:rPr>
        <w:t xml:space="preserve"> its business activities as follows: “</w:t>
      </w:r>
      <w:r w:rsidR="00412C93" w:rsidRPr="00B056CC">
        <w:rPr>
          <w:rFonts w:asciiTheme="majorHAnsi" w:hAnsiTheme="majorHAnsi" w:cs="Verdana"/>
          <w:sz w:val="22"/>
          <w:szCs w:val="22"/>
        </w:rPr>
        <w:t xml:space="preserve">Shell Canada's Upstream businesses explore for and extract natural gas, and market and trade natural gas and power. Our Downstream business refines, supplies, trades and ships crude oil worldwide and manufactures and markets a range of products, including fuels, lubricants, bitumen and </w:t>
      </w:r>
      <w:proofErr w:type="spellStart"/>
      <w:r w:rsidR="00412C93" w:rsidRPr="00B056CC">
        <w:rPr>
          <w:rFonts w:asciiTheme="majorHAnsi" w:hAnsiTheme="majorHAnsi" w:cs="Verdana"/>
          <w:sz w:val="22"/>
          <w:szCs w:val="22"/>
        </w:rPr>
        <w:t>liquified</w:t>
      </w:r>
      <w:proofErr w:type="spellEnd"/>
      <w:r w:rsidR="00412C93" w:rsidRPr="00B056CC">
        <w:rPr>
          <w:rFonts w:asciiTheme="majorHAnsi" w:hAnsiTheme="majorHAnsi" w:cs="Verdana"/>
          <w:sz w:val="22"/>
          <w:szCs w:val="22"/>
        </w:rPr>
        <w:t xml:space="preserve"> petroleum gas (LPG) for home</w:t>
      </w:r>
      <w:r w:rsidR="00002AD0">
        <w:rPr>
          <w:rFonts w:asciiTheme="majorHAnsi" w:hAnsiTheme="majorHAnsi" w:cs="Verdana"/>
          <w:sz w:val="22"/>
          <w:szCs w:val="22"/>
        </w:rPr>
        <w:t>, transport and industrial use</w:t>
      </w:r>
      <w:r w:rsidR="00412C93" w:rsidRPr="00B056CC">
        <w:rPr>
          <w:rFonts w:asciiTheme="majorHAnsi" w:hAnsiTheme="majorHAnsi" w:cs="Verdana"/>
          <w:sz w:val="22"/>
          <w:szCs w:val="22"/>
        </w:rPr>
        <w:t>.”</w:t>
      </w:r>
      <w:r w:rsidR="00412C93" w:rsidRPr="00B056CC">
        <w:rPr>
          <w:rStyle w:val="FootnoteReference"/>
          <w:rFonts w:asciiTheme="majorHAnsi" w:hAnsiTheme="majorHAnsi" w:cs="Verdana"/>
          <w:sz w:val="22"/>
          <w:szCs w:val="22"/>
        </w:rPr>
        <w:footnoteReference w:id="1"/>
      </w:r>
      <w:r w:rsidRPr="00B056CC">
        <w:rPr>
          <w:rFonts w:asciiTheme="majorHAnsi" w:hAnsiTheme="majorHAnsi" w:cs="Times New Roman"/>
          <w:sz w:val="22"/>
          <w:szCs w:val="22"/>
        </w:rPr>
        <w:t xml:space="preserve">  </w:t>
      </w:r>
      <w:r w:rsidR="00412C93" w:rsidRPr="00B056CC">
        <w:rPr>
          <w:rFonts w:asciiTheme="majorHAnsi" w:hAnsiTheme="majorHAnsi" w:cs="Times New Roman"/>
          <w:sz w:val="22"/>
          <w:szCs w:val="22"/>
        </w:rPr>
        <w:t>ExxonMobil describes its upstream and downstream activities similarly.</w:t>
      </w:r>
      <w:r w:rsidR="00412C93" w:rsidRPr="00B056CC">
        <w:rPr>
          <w:rStyle w:val="FootnoteReference"/>
          <w:rFonts w:asciiTheme="majorHAnsi" w:hAnsiTheme="majorHAnsi" w:cs="Times New Roman"/>
          <w:sz w:val="22"/>
          <w:szCs w:val="22"/>
        </w:rPr>
        <w:footnoteReference w:id="2"/>
      </w:r>
      <w:r w:rsidR="00412C93" w:rsidRPr="00B056CC">
        <w:rPr>
          <w:rFonts w:asciiTheme="majorHAnsi" w:hAnsiTheme="majorHAnsi" w:cs="Times New Roman"/>
          <w:sz w:val="22"/>
          <w:szCs w:val="22"/>
        </w:rPr>
        <w:t xml:space="preserve">  Given the centrality of oil and natural gas extraction, </w:t>
      </w:r>
      <w:r w:rsidR="005C6F50">
        <w:rPr>
          <w:rFonts w:asciiTheme="majorHAnsi" w:hAnsiTheme="majorHAnsi" w:cs="Times New Roman"/>
          <w:sz w:val="22"/>
          <w:szCs w:val="22"/>
        </w:rPr>
        <w:t xml:space="preserve">as well as the </w:t>
      </w:r>
      <w:r w:rsidR="00412C93" w:rsidRPr="00B056CC">
        <w:rPr>
          <w:rFonts w:asciiTheme="majorHAnsi" w:hAnsiTheme="majorHAnsi" w:cs="Times New Roman"/>
          <w:sz w:val="22"/>
          <w:szCs w:val="22"/>
        </w:rPr>
        <w:t xml:space="preserve">refinement and </w:t>
      </w:r>
      <w:r w:rsidR="00412C93" w:rsidRPr="003650A8">
        <w:rPr>
          <w:rFonts w:asciiTheme="majorHAnsi" w:hAnsiTheme="majorHAnsi" w:cs="Times New Roman"/>
          <w:sz w:val="22"/>
          <w:szCs w:val="22"/>
        </w:rPr>
        <w:t xml:space="preserve">sale </w:t>
      </w:r>
      <w:r w:rsidR="005C6F50" w:rsidRPr="003650A8">
        <w:rPr>
          <w:rFonts w:asciiTheme="majorHAnsi" w:hAnsiTheme="majorHAnsi" w:cs="Times New Roman"/>
          <w:sz w:val="22"/>
          <w:szCs w:val="22"/>
        </w:rPr>
        <w:t>of these resources</w:t>
      </w:r>
      <w:r w:rsidR="005C6F50">
        <w:rPr>
          <w:rFonts w:asciiTheme="majorHAnsi" w:hAnsiTheme="majorHAnsi" w:cs="Times New Roman"/>
          <w:sz w:val="22"/>
          <w:szCs w:val="22"/>
        </w:rPr>
        <w:t xml:space="preserve"> </w:t>
      </w:r>
      <w:r w:rsidR="00412C93" w:rsidRPr="00B056CC">
        <w:rPr>
          <w:rFonts w:asciiTheme="majorHAnsi" w:hAnsiTheme="majorHAnsi" w:cs="Times New Roman"/>
          <w:sz w:val="22"/>
          <w:szCs w:val="22"/>
        </w:rPr>
        <w:t xml:space="preserve">to the business models of </w:t>
      </w:r>
      <w:r w:rsidR="005C6F50" w:rsidRPr="003650A8">
        <w:rPr>
          <w:rFonts w:asciiTheme="majorHAnsi" w:hAnsiTheme="majorHAnsi" w:cs="Times New Roman"/>
          <w:sz w:val="22"/>
          <w:szCs w:val="22"/>
        </w:rPr>
        <w:t>these</w:t>
      </w:r>
      <w:r w:rsidR="00412C93" w:rsidRPr="005C6F50">
        <w:rPr>
          <w:rFonts w:asciiTheme="majorHAnsi" w:hAnsiTheme="majorHAnsi" w:cs="Times New Roman"/>
          <w:color w:val="FF0000"/>
          <w:sz w:val="22"/>
          <w:szCs w:val="22"/>
        </w:rPr>
        <w:t xml:space="preserve"> </w:t>
      </w:r>
      <w:r w:rsidR="00412C93" w:rsidRPr="00B056CC">
        <w:rPr>
          <w:rFonts w:asciiTheme="majorHAnsi" w:hAnsiTheme="majorHAnsi" w:cs="Times New Roman"/>
          <w:sz w:val="22"/>
          <w:szCs w:val="22"/>
        </w:rPr>
        <w:t>companies,</w:t>
      </w:r>
      <w:r w:rsidRPr="00B056CC">
        <w:rPr>
          <w:rFonts w:asciiTheme="majorHAnsi" w:hAnsiTheme="majorHAnsi" w:cs="Times New Roman"/>
          <w:sz w:val="22"/>
          <w:szCs w:val="22"/>
        </w:rPr>
        <w:t xml:space="preserve"> shareholder voice would not be an effective method to address social injury since the companies could not abandon the socially injurious activit</w:t>
      </w:r>
      <w:r w:rsidR="002035BC">
        <w:rPr>
          <w:rFonts w:asciiTheme="majorHAnsi" w:hAnsiTheme="majorHAnsi" w:cs="Times New Roman"/>
          <w:sz w:val="22"/>
          <w:szCs w:val="22"/>
        </w:rPr>
        <w:t>y without dissolving</w:t>
      </w:r>
      <w:r w:rsidRPr="00B056CC">
        <w:rPr>
          <w:rFonts w:asciiTheme="majorHAnsi" w:hAnsiTheme="majorHAnsi" w:cs="Times New Roman"/>
          <w:sz w:val="22"/>
          <w:szCs w:val="22"/>
        </w:rPr>
        <w:t xml:space="preserve"> their</w:t>
      </w:r>
      <w:r w:rsidR="005C6F50">
        <w:rPr>
          <w:rFonts w:asciiTheme="majorHAnsi" w:hAnsiTheme="majorHAnsi" w:cs="Times New Roman"/>
          <w:sz w:val="22"/>
          <w:szCs w:val="22"/>
        </w:rPr>
        <w:t xml:space="preserve"> </w:t>
      </w:r>
      <w:r w:rsidR="002035BC" w:rsidRPr="002035BC">
        <w:rPr>
          <w:rFonts w:asciiTheme="majorHAnsi" w:hAnsiTheme="majorHAnsi" w:cs="Times New Roman"/>
          <w:sz w:val="22"/>
          <w:szCs w:val="22"/>
        </w:rPr>
        <w:t>existing</w:t>
      </w:r>
      <w:r w:rsidRPr="005C6F50">
        <w:rPr>
          <w:rFonts w:asciiTheme="majorHAnsi" w:hAnsiTheme="majorHAnsi" w:cs="Times New Roman"/>
          <w:color w:val="FF0000"/>
          <w:sz w:val="22"/>
          <w:szCs w:val="22"/>
        </w:rPr>
        <w:t xml:space="preserve"> </w:t>
      </w:r>
      <w:r w:rsidRPr="00B056CC">
        <w:rPr>
          <w:rFonts w:asciiTheme="majorHAnsi" w:hAnsiTheme="majorHAnsi" w:cs="Times New Roman"/>
          <w:sz w:val="22"/>
          <w:szCs w:val="22"/>
        </w:rPr>
        <w:t xml:space="preserve">business models.  Moreover, the </w:t>
      </w:r>
      <w:r w:rsidR="005C6F50" w:rsidRPr="002035BC">
        <w:rPr>
          <w:rFonts w:asciiTheme="majorHAnsi" w:hAnsiTheme="majorHAnsi" w:cs="Times New Roman"/>
          <w:sz w:val="22"/>
          <w:szCs w:val="22"/>
        </w:rPr>
        <w:t xml:space="preserve">market </w:t>
      </w:r>
      <w:r w:rsidRPr="002035BC">
        <w:rPr>
          <w:rFonts w:asciiTheme="majorHAnsi" w:hAnsiTheme="majorHAnsi" w:cs="Times New Roman"/>
          <w:sz w:val="22"/>
          <w:szCs w:val="22"/>
        </w:rPr>
        <w:t>value</w:t>
      </w:r>
      <w:r w:rsidRPr="00B056CC">
        <w:rPr>
          <w:rFonts w:asciiTheme="majorHAnsi" w:hAnsiTheme="majorHAnsi" w:cs="Times New Roman"/>
          <w:sz w:val="22"/>
          <w:szCs w:val="22"/>
        </w:rPr>
        <w:t xml:space="preserve"> of these companies reflects an assumption that their reserves will be extracted and burned.  Therefore, it would be unreasonable for the University of Toronto to expect to be able to alter the socially injurious activities of these companies while holding onto its investments in the fossil fuel industry.</w:t>
      </w:r>
      <w:r w:rsidR="00412C93" w:rsidRPr="00B056CC">
        <w:rPr>
          <w:rFonts w:asciiTheme="majorHAnsi" w:hAnsiTheme="majorHAnsi" w:cs="Times New Roman"/>
          <w:sz w:val="22"/>
          <w:szCs w:val="22"/>
        </w:rPr>
        <w:t xml:space="preserve">  </w:t>
      </w:r>
      <w:r w:rsidR="00412C93" w:rsidRPr="002035BC">
        <w:rPr>
          <w:rFonts w:asciiTheme="majorHAnsi" w:hAnsiTheme="majorHAnsi" w:cs="Times New Roman"/>
          <w:sz w:val="22"/>
          <w:szCs w:val="22"/>
        </w:rPr>
        <w:t xml:space="preserve">Thus, divestment is the </w:t>
      </w:r>
      <w:r w:rsidR="005C6F50" w:rsidRPr="002035BC">
        <w:rPr>
          <w:rFonts w:asciiTheme="majorHAnsi" w:hAnsiTheme="majorHAnsi" w:cs="Times New Roman"/>
          <w:sz w:val="22"/>
          <w:szCs w:val="22"/>
        </w:rPr>
        <w:t xml:space="preserve">only appropriate response </w:t>
      </w:r>
      <w:r w:rsidR="00412C93" w:rsidRPr="002035BC">
        <w:rPr>
          <w:rFonts w:asciiTheme="majorHAnsi" w:hAnsiTheme="majorHAnsi" w:cs="Times New Roman"/>
          <w:sz w:val="22"/>
          <w:szCs w:val="22"/>
        </w:rPr>
        <w:t xml:space="preserve">for the University of Toronto to </w:t>
      </w:r>
      <w:r w:rsidR="005C6F50" w:rsidRPr="002035BC">
        <w:rPr>
          <w:rFonts w:asciiTheme="majorHAnsi" w:hAnsiTheme="majorHAnsi" w:cs="Times New Roman"/>
          <w:sz w:val="22"/>
          <w:szCs w:val="22"/>
        </w:rPr>
        <w:t>adopt in order to</w:t>
      </w:r>
      <w:r w:rsidR="00412C93" w:rsidRPr="002035BC">
        <w:rPr>
          <w:rFonts w:asciiTheme="majorHAnsi" w:hAnsiTheme="majorHAnsi" w:cs="Times New Roman"/>
          <w:sz w:val="22"/>
          <w:szCs w:val="22"/>
        </w:rPr>
        <w:t xml:space="preserve"> </w:t>
      </w:r>
      <w:r w:rsidR="005C6F50" w:rsidRPr="002035BC">
        <w:rPr>
          <w:rFonts w:asciiTheme="majorHAnsi" w:hAnsiTheme="majorHAnsi" w:cs="Times New Roman"/>
          <w:sz w:val="22"/>
          <w:szCs w:val="22"/>
        </w:rPr>
        <w:t>dissolve any financial complicity in</w:t>
      </w:r>
      <w:r w:rsidR="00412C93" w:rsidRPr="002035BC">
        <w:rPr>
          <w:rFonts w:asciiTheme="majorHAnsi" w:hAnsiTheme="majorHAnsi" w:cs="Times New Roman"/>
          <w:sz w:val="22"/>
          <w:szCs w:val="22"/>
        </w:rPr>
        <w:t xml:space="preserve"> </w:t>
      </w:r>
      <w:r w:rsidR="005C6F50" w:rsidRPr="002035BC">
        <w:rPr>
          <w:rFonts w:asciiTheme="majorHAnsi" w:hAnsiTheme="majorHAnsi" w:cs="Times New Roman"/>
          <w:sz w:val="22"/>
          <w:szCs w:val="22"/>
        </w:rPr>
        <w:t xml:space="preserve">the </w:t>
      </w:r>
      <w:r w:rsidR="002035BC" w:rsidRPr="002035BC">
        <w:rPr>
          <w:rFonts w:asciiTheme="majorHAnsi" w:hAnsiTheme="majorHAnsi" w:cs="Times New Roman"/>
          <w:sz w:val="22"/>
          <w:szCs w:val="22"/>
        </w:rPr>
        <w:t>fossil fuels industry’s socially injurious activities</w:t>
      </w:r>
      <w:r w:rsidR="00412C93" w:rsidRPr="00B056CC">
        <w:rPr>
          <w:rFonts w:asciiTheme="majorHAnsi" w:hAnsiTheme="majorHAnsi" w:cs="Times New Roman"/>
          <w:sz w:val="22"/>
          <w:szCs w:val="22"/>
        </w:rPr>
        <w:t xml:space="preserve">.  </w:t>
      </w:r>
    </w:p>
    <w:p w14:paraId="629C8E28" w14:textId="77777777" w:rsidR="00B056CC" w:rsidRDefault="00B056CC" w:rsidP="00B056CC">
      <w:pPr>
        <w:rPr>
          <w:rFonts w:asciiTheme="majorHAnsi" w:hAnsiTheme="majorHAnsi" w:cs="Times New Roman"/>
          <w:sz w:val="22"/>
          <w:szCs w:val="22"/>
        </w:rPr>
      </w:pPr>
    </w:p>
    <w:p w14:paraId="7316F37B" w14:textId="77777777" w:rsidR="002035BC" w:rsidRDefault="00B056CC" w:rsidP="00B056CC">
      <w:pPr>
        <w:rPr>
          <w:rFonts w:asciiTheme="majorHAnsi" w:hAnsiTheme="majorHAnsi" w:cs="Times New Roman"/>
          <w:sz w:val="22"/>
          <w:szCs w:val="22"/>
        </w:rPr>
      </w:pPr>
      <w:r w:rsidRPr="0075758C">
        <w:rPr>
          <w:rFonts w:asciiTheme="majorHAnsi" w:hAnsiTheme="majorHAnsi" w:cs="Times New Roman"/>
          <w:sz w:val="22"/>
          <w:szCs w:val="22"/>
        </w:rPr>
        <w:t>3.d.</w:t>
      </w:r>
      <w:r>
        <w:rPr>
          <w:rFonts w:asciiTheme="majorHAnsi" w:hAnsiTheme="majorHAnsi" w:cs="Times New Roman"/>
          <w:sz w:val="22"/>
          <w:szCs w:val="22"/>
        </w:rPr>
        <w:t xml:space="preserve">  </w:t>
      </w:r>
    </w:p>
    <w:p w14:paraId="2FEADD78" w14:textId="77777777" w:rsidR="00190A8A" w:rsidRDefault="000278C3" w:rsidP="002035BC">
      <w:pPr>
        <w:ind w:firstLine="720"/>
        <w:rPr>
          <w:rFonts w:asciiTheme="majorHAnsi" w:hAnsiTheme="majorHAnsi" w:cs="Times New Roman"/>
          <w:sz w:val="22"/>
          <w:szCs w:val="22"/>
        </w:rPr>
      </w:pPr>
      <w:r w:rsidRPr="00B056CC">
        <w:rPr>
          <w:rFonts w:asciiTheme="majorHAnsi" w:hAnsiTheme="majorHAnsi" w:cs="Times New Roman"/>
          <w:sz w:val="22"/>
          <w:szCs w:val="22"/>
        </w:rPr>
        <w:t xml:space="preserve">The </w:t>
      </w:r>
      <w:r w:rsidR="005C6F50" w:rsidRPr="002035BC">
        <w:rPr>
          <w:rFonts w:asciiTheme="majorHAnsi" w:hAnsiTheme="majorHAnsi" w:cs="Times New Roman"/>
          <w:sz w:val="22"/>
          <w:szCs w:val="22"/>
        </w:rPr>
        <w:t>socially</w:t>
      </w:r>
      <w:r w:rsidR="005C6F50">
        <w:rPr>
          <w:rFonts w:asciiTheme="majorHAnsi" w:hAnsiTheme="majorHAnsi" w:cs="Times New Roman"/>
          <w:sz w:val="22"/>
          <w:szCs w:val="22"/>
        </w:rPr>
        <w:t xml:space="preserve"> </w:t>
      </w:r>
      <w:r w:rsidRPr="00B056CC">
        <w:rPr>
          <w:rFonts w:asciiTheme="majorHAnsi" w:hAnsiTheme="majorHAnsi" w:cs="Times New Roman"/>
          <w:sz w:val="22"/>
          <w:szCs w:val="22"/>
        </w:rPr>
        <w:t xml:space="preserve">injurious activities of </w:t>
      </w:r>
      <w:r w:rsidR="00102A69">
        <w:rPr>
          <w:rFonts w:asciiTheme="majorHAnsi" w:hAnsiTheme="majorHAnsi" w:cs="Times New Roman"/>
          <w:sz w:val="22"/>
          <w:szCs w:val="22"/>
        </w:rPr>
        <w:t>fossil fuel</w:t>
      </w:r>
      <w:r w:rsidRPr="00B056CC">
        <w:rPr>
          <w:rFonts w:asciiTheme="majorHAnsi" w:hAnsiTheme="majorHAnsi" w:cs="Times New Roman"/>
          <w:sz w:val="22"/>
          <w:szCs w:val="22"/>
        </w:rPr>
        <w:t xml:space="preserve"> companies frustrate the enforcement of rules of domestic and international law intended to protect individuals against deprivation of health, safety and basic freedoms.</w:t>
      </w:r>
      <w:r w:rsidR="002035BC">
        <w:rPr>
          <w:rFonts w:asciiTheme="majorHAnsi" w:hAnsiTheme="majorHAnsi" w:cs="Times New Roman"/>
          <w:sz w:val="22"/>
          <w:szCs w:val="22"/>
        </w:rPr>
        <w:t xml:space="preserve">  First, these activities undermine the Charter of Rights and Freedoms.  Section 7 states, “the right to life, liberty and security of the person and the right not to be deprived thereof except in accordance with the principles of fundamental justice.”</w:t>
      </w:r>
      <w:r w:rsidR="002035BC">
        <w:rPr>
          <w:rStyle w:val="FootnoteReference"/>
          <w:rFonts w:asciiTheme="majorHAnsi" w:hAnsiTheme="majorHAnsi" w:cs="Times New Roman"/>
          <w:sz w:val="22"/>
          <w:szCs w:val="22"/>
        </w:rPr>
        <w:footnoteReference w:id="3"/>
      </w:r>
      <w:r w:rsidR="002035BC">
        <w:rPr>
          <w:rFonts w:asciiTheme="majorHAnsi" w:hAnsiTheme="majorHAnsi" w:cs="Times New Roman"/>
          <w:sz w:val="22"/>
          <w:szCs w:val="22"/>
        </w:rPr>
        <w:t xml:space="preserve">  </w:t>
      </w:r>
      <w:r w:rsidR="0075758C">
        <w:rPr>
          <w:rFonts w:asciiTheme="majorHAnsi" w:hAnsiTheme="majorHAnsi" w:cs="Times New Roman"/>
          <w:sz w:val="22"/>
          <w:szCs w:val="22"/>
        </w:rPr>
        <w:t>Since life and security of the person depend on a healthy environment, implicit in this statement is the right to a healthy environment.  As outlined in 3.a, the activities of companies in the fossil fuels industry undermine the right to life by depriving people of the benefits of a healthy environment.</w:t>
      </w:r>
      <w:r w:rsidR="002035BC">
        <w:rPr>
          <w:rFonts w:asciiTheme="majorHAnsi" w:hAnsiTheme="majorHAnsi" w:cs="Times New Roman"/>
          <w:sz w:val="22"/>
          <w:szCs w:val="22"/>
        </w:rPr>
        <w:t xml:space="preserve">  </w:t>
      </w:r>
    </w:p>
    <w:p w14:paraId="2ABACC68" w14:textId="5FF2B33E" w:rsidR="002035BC" w:rsidRPr="002035BC" w:rsidRDefault="00190A8A" w:rsidP="002035BC">
      <w:pPr>
        <w:ind w:firstLine="720"/>
        <w:rPr>
          <w:rFonts w:asciiTheme="majorHAnsi" w:hAnsiTheme="majorHAnsi" w:cs="Times New Roman"/>
          <w:sz w:val="22"/>
          <w:szCs w:val="22"/>
        </w:rPr>
      </w:pPr>
      <w:r>
        <w:rPr>
          <w:rFonts w:asciiTheme="majorHAnsi" w:hAnsiTheme="majorHAnsi" w:cs="Times New Roman"/>
          <w:sz w:val="22"/>
          <w:szCs w:val="22"/>
        </w:rPr>
        <w:t xml:space="preserve">In addition, </w:t>
      </w:r>
      <w:r w:rsidR="00035D65">
        <w:rPr>
          <w:rFonts w:asciiTheme="majorHAnsi" w:hAnsiTheme="majorHAnsi" w:cs="Times New Roman"/>
          <w:sz w:val="22"/>
          <w:szCs w:val="22"/>
        </w:rPr>
        <w:t xml:space="preserve">numerous pieces of </w:t>
      </w:r>
      <w:r>
        <w:rPr>
          <w:rFonts w:asciiTheme="majorHAnsi" w:hAnsiTheme="majorHAnsi" w:cs="Times New Roman"/>
          <w:sz w:val="22"/>
          <w:szCs w:val="22"/>
        </w:rPr>
        <w:t>Canadian</w:t>
      </w:r>
      <w:r w:rsidR="00035D65">
        <w:rPr>
          <w:rFonts w:asciiTheme="majorHAnsi" w:hAnsiTheme="majorHAnsi" w:cs="Times New Roman"/>
          <w:sz w:val="22"/>
          <w:szCs w:val="22"/>
        </w:rPr>
        <w:t xml:space="preserve"> environmental legislation explicitly recognize and seek to protect the right to a healthful environment.  The </w:t>
      </w:r>
      <w:r w:rsidR="00035D65" w:rsidRPr="00B056CC">
        <w:rPr>
          <w:rFonts w:asciiTheme="majorHAnsi" w:hAnsiTheme="majorHAnsi" w:cs="Times New Roman"/>
          <w:sz w:val="22"/>
          <w:szCs w:val="22"/>
        </w:rPr>
        <w:t>Ontari</w:t>
      </w:r>
      <w:r w:rsidR="00035D65">
        <w:rPr>
          <w:rFonts w:asciiTheme="majorHAnsi" w:hAnsiTheme="majorHAnsi" w:cs="Times New Roman"/>
          <w:sz w:val="22"/>
          <w:szCs w:val="22"/>
        </w:rPr>
        <w:t>o Environmental Bill of Rights (</w:t>
      </w:r>
      <w:r w:rsidR="00035D65" w:rsidRPr="00B056CC">
        <w:rPr>
          <w:rFonts w:asciiTheme="majorHAnsi" w:hAnsiTheme="majorHAnsi" w:cs="Times New Roman"/>
          <w:sz w:val="22"/>
          <w:szCs w:val="22"/>
        </w:rPr>
        <w:t>1993</w:t>
      </w:r>
      <w:r w:rsidR="00035D65">
        <w:rPr>
          <w:rFonts w:asciiTheme="majorHAnsi" w:hAnsiTheme="majorHAnsi" w:cs="Times New Roman"/>
          <w:sz w:val="22"/>
          <w:szCs w:val="22"/>
        </w:rPr>
        <w:t xml:space="preserve">) recognizes the inherent value of the natural environment” </w:t>
      </w:r>
      <w:r w:rsidR="002035BC">
        <w:rPr>
          <w:rFonts w:asciiTheme="majorHAnsi" w:hAnsiTheme="majorHAnsi" w:cs="Times New Roman"/>
          <w:sz w:val="22"/>
          <w:szCs w:val="22"/>
        </w:rPr>
        <w:t xml:space="preserve">and states that </w:t>
      </w:r>
      <w:r w:rsidR="00035D65">
        <w:rPr>
          <w:rFonts w:asciiTheme="majorHAnsi" w:hAnsiTheme="majorHAnsi" w:cs="Times New Roman"/>
          <w:sz w:val="22"/>
          <w:szCs w:val="22"/>
        </w:rPr>
        <w:t>“</w:t>
      </w:r>
      <w:r>
        <w:rPr>
          <w:rFonts w:asciiTheme="majorHAnsi" w:hAnsiTheme="majorHAnsi" w:cs="Times New Roman"/>
          <w:sz w:val="22"/>
          <w:szCs w:val="22"/>
        </w:rPr>
        <w:t>the people of Ontario</w:t>
      </w:r>
      <w:r w:rsidR="002035BC">
        <w:rPr>
          <w:rFonts w:asciiTheme="majorHAnsi" w:hAnsiTheme="majorHAnsi" w:cs="Times New Roman"/>
          <w:sz w:val="22"/>
          <w:szCs w:val="22"/>
        </w:rPr>
        <w:t xml:space="preserve"> </w:t>
      </w:r>
      <w:r w:rsidR="00035D65">
        <w:rPr>
          <w:rFonts w:asciiTheme="majorHAnsi" w:hAnsiTheme="majorHAnsi" w:cs="Times New Roman"/>
          <w:sz w:val="22"/>
          <w:szCs w:val="22"/>
        </w:rPr>
        <w:t xml:space="preserve">have the right to a healthful environment” and </w:t>
      </w:r>
      <w:r w:rsidR="002035BC">
        <w:rPr>
          <w:rFonts w:asciiTheme="majorHAnsi" w:hAnsiTheme="majorHAnsi" w:cs="Times New Roman"/>
          <w:sz w:val="22"/>
          <w:szCs w:val="22"/>
        </w:rPr>
        <w:t xml:space="preserve">“have as </w:t>
      </w:r>
      <w:r w:rsidR="002035BC" w:rsidRPr="00817400">
        <w:rPr>
          <w:rFonts w:asciiTheme="majorHAnsi" w:hAnsiTheme="majorHAnsi"/>
          <w:sz w:val="22"/>
          <w:szCs w:val="22"/>
        </w:rPr>
        <w:t>a common goal the protection, conservation and restoration of the natural environment for the benefit of present and future generations.</w:t>
      </w:r>
      <w:r w:rsidR="002035BC">
        <w:rPr>
          <w:rFonts w:asciiTheme="majorHAnsi" w:hAnsiTheme="majorHAnsi"/>
          <w:sz w:val="22"/>
          <w:szCs w:val="22"/>
        </w:rPr>
        <w:t>”  The purposes of the Act are:</w:t>
      </w:r>
    </w:p>
    <w:p w14:paraId="5B406DCC" w14:textId="77777777" w:rsidR="002035BC" w:rsidRPr="00B056CC" w:rsidRDefault="002035BC" w:rsidP="002035BC">
      <w:pPr>
        <w:pStyle w:val="clause-e"/>
        <w:ind w:left="1440"/>
        <w:rPr>
          <w:rFonts w:asciiTheme="majorHAnsi" w:hAnsiTheme="majorHAnsi"/>
          <w:sz w:val="22"/>
          <w:szCs w:val="22"/>
        </w:rPr>
      </w:pPr>
      <w:r>
        <w:rPr>
          <w:rFonts w:asciiTheme="majorHAnsi" w:hAnsiTheme="majorHAnsi"/>
          <w:sz w:val="22"/>
          <w:szCs w:val="22"/>
        </w:rPr>
        <w:lastRenderedPageBreak/>
        <w:tab/>
        <w:t xml:space="preserve">(a) </w:t>
      </w:r>
      <w:proofErr w:type="gramStart"/>
      <w:r w:rsidRPr="00B056CC">
        <w:rPr>
          <w:rFonts w:asciiTheme="majorHAnsi" w:hAnsiTheme="majorHAnsi"/>
          <w:sz w:val="22"/>
          <w:szCs w:val="22"/>
        </w:rPr>
        <w:t>to</w:t>
      </w:r>
      <w:proofErr w:type="gramEnd"/>
      <w:r w:rsidRPr="00B056CC">
        <w:rPr>
          <w:rFonts w:asciiTheme="majorHAnsi" w:hAnsiTheme="majorHAnsi"/>
          <w:sz w:val="22"/>
          <w:szCs w:val="22"/>
        </w:rPr>
        <w:t xml:space="preserve"> protect, conserve and, where reasonable, restore the integrity of the environment by the means provided in this Act;</w:t>
      </w:r>
    </w:p>
    <w:p w14:paraId="51C117E8" w14:textId="77777777" w:rsidR="002035BC" w:rsidRPr="00B056CC" w:rsidRDefault="002035BC" w:rsidP="002035BC">
      <w:pPr>
        <w:pStyle w:val="clause-e"/>
        <w:ind w:left="1440"/>
        <w:rPr>
          <w:rFonts w:asciiTheme="majorHAnsi" w:hAnsiTheme="majorHAnsi"/>
          <w:sz w:val="22"/>
          <w:szCs w:val="22"/>
        </w:rPr>
      </w:pPr>
      <w:r>
        <w:rPr>
          <w:rFonts w:asciiTheme="majorHAnsi" w:hAnsiTheme="majorHAnsi"/>
          <w:sz w:val="22"/>
          <w:szCs w:val="22"/>
        </w:rPr>
        <w:tab/>
        <w:t xml:space="preserve">(b) </w:t>
      </w:r>
      <w:proofErr w:type="gramStart"/>
      <w:r w:rsidRPr="00B056CC">
        <w:rPr>
          <w:rFonts w:asciiTheme="majorHAnsi" w:hAnsiTheme="majorHAnsi"/>
          <w:sz w:val="22"/>
          <w:szCs w:val="22"/>
        </w:rPr>
        <w:t>to</w:t>
      </w:r>
      <w:proofErr w:type="gramEnd"/>
      <w:r w:rsidRPr="00B056CC">
        <w:rPr>
          <w:rFonts w:asciiTheme="majorHAnsi" w:hAnsiTheme="majorHAnsi"/>
          <w:sz w:val="22"/>
          <w:szCs w:val="22"/>
        </w:rPr>
        <w:t xml:space="preserve"> provide sustainability of the environment by the means provided in this Act; and</w:t>
      </w:r>
    </w:p>
    <w:p w14:paraId="77BEEF3A" w14:textId="77777777" w:rsidR="002035BC" w:rsidRPr="00B056CC" w:rsidRDefault="002035BC" w:rsidP="002035BC">
      <w:pPr>
        <w:pStyle w:val="clause-e"/>
        <w:ind w:left="1440"/>
        <w:rPr>
          <w:rFonts w:asciiTheme="majorHAnsi" w:hAnsiTheme="majorHAnsi"/>
          <w:sz w:val="22"/>
          <w:szCs w:val="22"/>
        </w:rPr>
      </w:pPr>
      <w:r>
        <w:rPr>
          <w:rFonts w:asciiTheme="majorHAnsi" w:hAnsiTheme="majorHAnsi"/>
          <w:sz w:val="22"/>
          <w:szCs w:val="22"/>
        </w:rPr>
        <w:tab/>
        <w:t xml:space="preserve">(c) </w:t>
      </w:r>
      <w:proofErr w:type="gramStart"/>
      <w:r w:rsidRPr="00B056CC">
        <w:rPr>
          <w:rFonts w:asciiTheme="majorHAnsi" w:hAnsiTheme="majorHAnsi"/>
          <w:sz w:val="22"/>
          <w:szCs w:val="22"/>
        </w:rPr>
        <w:t>to</w:t>
      </w:r>
      <w:proofErr w:type="gramEnd"/>
      <w:r w:rsidRPr="00B056CC">
        <w:rPr>
          <w:rFonts w:asciiTheme="majorHAnsi" w:hAnsiTheme="majorHAnsi"/>
          <w:sz w:val="22"/>
          <w:szCs w:val="22"/>
        </w:rPr>
        <w:t xml:space="preserve"> protect the right to a healthful environment by the means provided in this Act.  1993, c. 28, s. 2 (1).</w:t>
      </w:r>
    </w:p>
    <w:p w14:paraId="72EC7D00" w14:textId="77777777" w:rsidR="002035BC" w:rsidRPr="00B056CC" w:rsidRDefault="002035BC" w:rsidP="002035BC">
      <w:pPr>
        <w:pStyle w:val="subsection-e"/>
        <w:ind w:left="720"/>
        <w:rPr>
          <w:rFonts w:asciiTheme="majorHAnsi" w:hAnsiTheme="majorHAnsi"/>
          <w:sz w:val="22"/>
          <w:szCs w:val="22"/>
        </w:rPr>
      </w:pPr>
      <w:bookmarkStart w:id="1" w:name="s2s2"/>
      <w:bookmarkEnd w:id="1"/>
      <w:r>
        <w:rPr>
          <w:rFonts w:asciiTheme="majorHAnsi" w:hAnsiTheme="majorHAnsi"/>
          <w:sz w:val="22"/>
          <w:szCs w:val="22"/>
        </w:rPr>
        <w:t>The above purposes include the following:</w:t>
      </w:r>
    </w:p>
    <w:p w14:paraId="75846FCB" w14:textId="77777777" w:rsidR="002035BC" w:rsidRPr="00817400" w:rsidRDefault="002035BC" w:rsidP="002035BC">
      <w:pPr>
        <w:pStyle w:val="paragraph-e"/>
        <w:ind w:left="1418"/>
        <w:rPr>
          <w:rFonts w:asciiTheme="majorHAnsi" w:hAnsiTheme="majorHAnsi"/>
          <w:sz w:val="22"/>
          <w:szCs w:val="22"/>
        </w:rPr>
      </w:pPr>
      <w:r>
        <w:rPr>
          <w:rFonts w:asciiTheme="majorHAnsi" w:hAnsiTheme="majorHAnsi"/>
          <w:sz w:val="22"/>
          <w:szCs w:val="22"/>
        </w:rPr>
        <w:tab/>
        <w:t xml:space="preserve">1. </w:t>
      </w:r>
      <w:r w:rsidRPr="00817400">
        <w:rPr>
          <w:rFonts w:asciiTheme="majorHAnsi" w:hAnsiTheme="majorHAnsi"/>
          <w:sz w:val="22"/>
          <w:szCs w:val="22"/>
        </w:rPr>
        <w:t>The prevention, reduction and elimination of the use, generation and release of pollutants that are an unreasonable threat to the integrity of the environment.</w:t>
      </w:r>
    </w:p>
    <w:p w14:paraId="74C1B641" w14:textId="77777777" w:rsidR="002035BC" w:rsidRPr="00817400" w:rsidRDefault="002035BC" w:rsidP="002035BC">
      <w:pPr>
        <w:pStyle w:val="paragraph-e"/>
        <w:ind w:left="1418"/>
        <w:rPr>
          <w:rFonts w:asciiTheme="majorHAnsi" w:hAnsiTheme="majorHAnsi"/>
          <w:sz w:val="22"/>
          <w:szCs w:val="22"/>
        </w:rPr>
      </w:pPr>
      <w:r>
        <w:rPr>
          <w:rFonts w:asciiTheme="majorHAnsi" w:hAnsiTheme="majorHAnsi"/>
          <w:sz w:val="22"/>
          <w:szCs w:val="22"/>
        </w:rPr>
        <w:tab/>
        <w:t xml:space="preserve">2. </w:t>
      </w:r>
      <w:r w:rsidRPr="00817400">
        <w:rPr>
          <w:rFonts w:asciiTheme="majorHAnsi" w:hAnsiTheme="majorHAnsi"/>
          <w:sz w:val="22"/>
          <w:szCs w:val="22"/>
        </w:rPr>
        <w:t>The protection and conservation of biological, ecological and genetic diversity.</w:t>
      </w:r>
    </w:p>
    <w:p w14:paraId="4679D107" w14:textId="77777777" w:rsidR="002035BC" w:rsidRPr="00817400" w:rsidRDefault="002035BC" w:rsidP="002035BC">
      <w:pPr>
        <w:pStyle w:val="paragraph-e"/>
        <w:ind w:left="1418"/>
        <w:rPr>
          <w:rFonts w:asciiTheme="majorHAnsi" w:hAnsiTheme="majorHAnsi"/>
          <w:sz w:val="22"/>
          <w:szCs w:val="22"/>
        </w:rPr>
      </w:pPr>
      <w:r>
        <w:rPr>
          <w:rFonts w:asciiTheme="majorHAnsi" w:hAnsiTheme="majorHAnsi"/>
          <w:sz w:val="22"/>
          <w:szCs w:val="22"/>
        </w:rPr>
        <w:tab/>
        <w:t xml:space="preserve">3. </w:t>
      </w:r>
      <w:r w:rsidRPr="00817400">
        <w:rPr>
          <w:rFonts w:asciiTheme="majorHAnsi" w:hAnsiTheme="majorHAnsi"/>
          <w:sz w:val="22"/>
          <w:szCs w:val="22"/>
        </w:rPr>
        <w:t>The protection and conservation of natural resources, including plant life, animal life and ecological systems.</w:t>
      </w:r>
    </w:p>
    <w:p w14:paraId="4A54C54C" w14:textId="77777777" w:rsidR="002035BC" w:rsidRPr="00817400" w:rsidRDefault="002035BC" w:rsidP="002035BC">
      <w:pPr>
        <w:pStyle w:val="paragraph-e"/>
        <w:ind w:left="1418"/>
        <w:rPr>
          <w:rFonts w:asciiTheme="majorHAnsi" w:hAnsiTheme="majorHAnsi"/>
          <w:sz w:val="22"/>
          <w:szCs w:val="22"/>
        </w:rPr>
      </w:pPr>
      <w:r>
        <w:rPr>
          <w:rFonts w:asciiTheme="majorHAnsi" w:hAnsiTheme="majorHAnsi"/>
          <w:sz w:val="22"/>
          <w:szCs w:val="22"/>
        </w:rPr>
        <w:tab/>
        <w:t xml:space="preserve">4. </w:t>
      </w:r>
      <w:r w:rsidRPr="00817400">
        <w:rPr>
          <w:rFonts w:asciiTheme="majorHAnsi" w:hAnsiTheme="majorHAnsi"/>
          <w:sz w:val="22"/>
          <w:szCs w:val="22"/>
        </w:rPr>
        <w:t>The encouragement of the wise management of our natural resources, including plant life, animal life and ecological systems.</w:t>
      </w:r>
    </w:p>
    <w:p w14:paraId="3121C097" w14:textId="77777777" w:rsidR="002035BC" w:rsidRDefault="002035BC" w:rsidP="002035BC">
      <w:pPr>
        <w:pStyle w:val="paragraph-e"/>
        <w:ind w:left="1418"/>
        <w:rPr>
          <w:rFonts w:asciiTheme="majorHAnsi" w:hAnsiTheme="majorHAnsi"/>
          <w:sz w:val="22"/>
          <w:szCs w:val="22"/>
        </w:rPr>
      </w:pPr>
      <w:r>
        <w:rPr>
          <w:rFonts w:asciiTheme="majorHAnsi" w:hAnsiTheme="majorHAnsi"/>
          <w:sz w:val="22"/>
          <w:szCs w:val="22"/>
        </w:rPr>
        <w:tab/>
        <w:t xml:space="preserve">5. </w:t>
      </w:r>
      <w:r w:rsidRPr="00817400">
        <w:rPr>
          <w:rFonts w:asciiTheme="majorHAnsi" w:hAnsiTheme="majorHAnsi"/>
          <w:sz w:val="22"/>
          <w:szCs w:val="22"/>
        </w:rPr>
        <w:t>The identification, protection and conservation of ecologically sensitive areas or processes.</w:t>
      </w:r>
      <w:r w:rsidRPr="00B056CC">
        <w:rPr>
          <w:rFonts w:asciiTheme="majorHAnsi" w:hAnsiTheme="majorHAnsi"/>
          <w:sz w:val="22"/>
          <w:szCs w:val="22"/>
        </w:rPr>
        <w:t xml:space="preserve">  1993, c. 28, s. 2 (2).</w:t>
      </w:r>
      <w:r w:rsidRPr="00B056CC">
        <w:rPr>
          <w:rStyle w:val="FootnoteReference"/>
          <w:rFonts w:asciiTheme="majorHAnsi" w:hAnsiTheme="majorHAnsi"/>
          <w:sz w:val="22"/>
          <w:szCs w:val="22"/>
        </w:rPr>
        <w:footnoteReference w:id="4"/>
      </w:r>
    </w:p>
    <w:p w14:paraId="76E61B5F" w14:textId="77777777" w:rsidR="002035BC" w:rsidRPr="00B056CC" w:rsidRDefault="002035BC" w:rsidP="00035D65">
      <w:pPr>
        <w:pStyle w:val="paragraph-e"/>
        <w:ind w:left="0" w:firstLine="0"/>
        <w:rPr>
          <w:rFonts w:asciiTheme="majorHAnsi" w:hAnsiTheme="majorHAnsi"/>
          <w:sz w:val="22"/>
          <w:szCs w:val="22"/>
        </w:rPr>
      </w:pPr>
      <w:r>
        <w:rPr>
          <w:rFonts w:asciiTheme="majorHAnsi" w:hAnsiTheme="majorHAnsi"/>
          <w:sz w:val="22"/>
          <w:szCs w:val="22"/>
        </w:rPr>
        <w:t>The activities of fossil fuel companies frustrate all of the above purposes by contributing to climate change, thereby undermining the right to a healthy environment of the people of Ontario.</w:t>
      </w:r>
    </w:p>
    <w:p w14:paraId="39E3F345" w14:textId="56D3BCCB" w:rsidR="002035BC" w:rsidRPr="00035D65" w:rsidRDefault="00035D65" w:rsidP="006802CD">
      <w:pPr>
        <w:ind w:firstLine="720"/>
        <w:rPr>
          <w:rFonts w:asciiTheme="majorHAnsi" w:hAnsiTheme="majorHAnsi" w:cs="Times New Roman"/>
          <w:sz w:val="22"/>
          <w:szCs w:val="22"/>
        </w:rPr>
      </w:pPr>
      <w:r>
        <w:rPr>
          <w:rFonts w:asciiTheme="majorHAnsi" w:hAnsiTheme="majorHAnsi" w:cs="Times New Roman"/>
          <w:sz w:val="22"/>
          <w:szCs w:val="22"/>
        </w:rPr>
        <w:t xml:space="preserve">Environmental laws for other </w:t>
      </w:r>
      <w:r w:rsidRPr="004443E8">
        <w:rPr>
          <w:rFonts w:asciiTheme="majorHAnsi" w:hAnsiTheme="majorHAnsi" w:cs="Times New Roman"/>
          <w:sz w:val="22"/>
          <w:szCs w:val="22"/>
        </w:rPr>
        <w:t>provinces</w:t>
      </w:r>
      <w:r>
        <w:rPr>
          <w:rFonts w:asciiTheme="majorHAnsi" w:hAnsiTheme="majorHAnsi" w:cs="Times New Roman"/>
          <w:sz w:val="22"/>
          <w:szCs w:val="22"/>
        </w:rPr>
        <w:t xml:space="preserve"> of Canada recognize and seek to protect the same right to a healthy environment.  For example, </w:t>
      </w:r>
      <w:r w:rsidR="002035BC">
        <w:rPr>
          <w:rFonts w:asciiTheme="majorHAnsi" w:hAnsiTheme="majorHAnsi" w:cs="Times New Roman"/>
          <w:sz w:val="22"/>
          <w:szCs w:val="22"/>
        </w:rPr>
        <w:t>Part 1, section 6 of the Yukon Environment Act states that, “The people of the Yukon have the right to a healthful natural environment.”</w:t>
      </w:r>
      <w:r w:rsidR="002035BC">
        <w:rPr>
          <w:rStyle w:val="FootnoteReference"/>
          <w:rFonts w:asciiTheme="majorHAnsi" w:hAnsiTheme="majorHAnsi" w:cs="Times New Roman"/>
          <w:sz w:val="22"/>
          <w:szCs w:val="22"/>
        </w:rPr>
        <w:footnoteReference w:id="5"/>
      </w:r>
      <w:r w:rsidR="002035BC">
        <w:rPr>
          <w:rFonts w:asciiTheme="majorHAnsi" w:hAnsiTheme="majorHAnsi" w:cs="Times New Roman"/>
          <w:sz w:val="22"/>
          <w:szCs w:val="22"/>
        </w:rPr>
        <w:t xml:space="preserve">  In accordance with this right, the Act seeks to protect the environment of the Yukon by providing an appropriate process to assess the environmental effects of projects and activities in the Yukon or that may have effects in the Yukon. </w:t>
      </w:r>
      <w:r>
        <w:rPr>
          <w:rFonts w:asciiTheme="majorHAnsi" w:hAnsiTheme="majorHAnsi" w:cs="Times New Roman"/>
          <w:sz w:val="22"/>
          <w:szCs w:val="22"/>
        </w:rPr>
        <w:t xml:space="preserve"> Similarly, t</w:t>
      </w:r>
      <w:r w:rsidR="002035BC">
        <w:rPr>
          <w:rFonts w:asciiTheme="majorHAnsi" w:hAnsiTheme="majorHAnsi" w:cs="Times New Roman"/>
          <w:sz w:val="22"/>
          <w:szCs w:val="22"/>
        </w:rPr>
        <w:t>he Northwest Territories Environmental Rights Act recognizes that “the people of the Northwest Territories have the right to a healthy environment and a right to protect the integrity, biological diversity and productivity of the ecosystems in the Northwest Territories” and establishes the means by which individuals can act to protect the environment from harm.</w:t>
      </w:r>
      <w:r w:rsidR="002035BC">
        <w:rPr>
          <w:rStyle w:val="FootnoteReference"/>
          <w:rFonts w:asciiTheme="majorHAnsi" w:hAnsiTheme="majorHAnsi" w:cs="Times New Roman"/>
          <w:sz w:val="22"/>
          <w:szCs w:val="22"/>
        </w:rPr>
        <w:footnoteReference w:id="6"/>
      </w:r>
      <w:r w:rsidR="002035BC">
        <w:rPr>
          <w:rFonts w:asciiTheme="majorHAnsi" w:hAnsiTheme="majorHAnsi" w:cs="Times New Roman"/>
          <w:sz w:val="22"/>
          <w:szCs w:val="22"/>
        </w:rPr>
        <w:t xml:space="preserve">  By pursuing the extraction of fossil fuels, the companies in question undermine the right t</w:t>
      </w:r>
      <w:r>
        <w:rPr>
          <w:rFonts w:asciiTheme="majorHAnsi" w:hAnsiTheme="majorHAnsi" w:cs="Times New Roman"/>
          <w:sz w:val="22"/>
          <w:szCs w:val="22"/>
        </w:rPr>
        <w:t>o a healthy environment that the</w:t>
      </w:r>
      <w:r w:rsidR="002035BC">
        <w:rPr>
          <w:rFonts w:asciiTheme="majorHAnsi" w:hAnsiTheme="majorHAnsi" w:cs="Times New Roman"/>
          <w:sz w:val="22"/>
          <w:szCs w:val="22"/>
        </w:rPr>
        <w:t>s</w:t>
      </w:r>
      <w:r>
        <w:rPr>
          <w:rFonts w:asciiTheme="majorHAnsi" w:hAnsiTheme="majorHAnsi" w:cs="Times New Roman"/>
          <w:sz w:val="22"/>
          <w:szCs w:val="22"/>
        </w:rPr>
        <w:t>e</w:t>
      </w:r>
      <w:r w:rsidR="002035BC">
        <w:rPr>
          <w:rFonts w:asciiTheme="majorHAnsi" w:hAnsiTheme="majorHAnsi" w:cs="Times New Roman"/>
          <w:sz w:val="22"/>
          <w:szCs w:val="22"/>
        </w:rPr>
        <w:t xml:space="preserve"> act</w:t>
      </w:r>
      <w:r>
        <w:rPr>
          <w:rFonts w:asciiTheme="majorHAnsi" w:hAnsiTheme="majorHAnsi" w:cs="Times New Roman"/>
          <w:sz w:val="22"/>
          <w:szCs w:val="22"/>
        </w:rPr>
        <w:t xml:space="preserve">s articulate and </w:t>
      </w:r>
      <w:r w:rsidR="00304272">
        <w:rPr>
          <w:rFonts w:asciiTheme="majorHAnsi" w:hAnsiTheme="majorHAnsi" w:cs="Times New Roman"/>
          <w:sz w:val="22"/>
          <w:szCs w:val="22"/>
        </w:rPr>
        <w:t>protect</w:t>
      </w:r>
      <w:r w:rsidR="002035BC">
        <w:rPr>
          <w:rFonts w:asciiTheme="majorHAnsi" w:hAnsiTheme="majorHAnsi" w:cs="Times New Roman"/>
          <w:sz w:val="22"/>
          <w:szCs w:val="22"/>
        </w:rPr>
        <w:t xml:space="preserve">.  </w:t>
      </w:r>
      <w:r>
        <w:rPr>
          <w:rFonts w:asciiTheme="majorHAnsi" w:hAnsiTheme="majorHAnsi" w:cs="Times New Roman"/>
          <w:sz w:val="22"/>
          <w:szCs w:val="22"/>
        </w:rPr>
        <w:t>Finally,</w:t>
      </w:r>
      <w:r w:rsidR="002035BC">
        <w:rPr>
          <w:rFonts w:asciiTheme="majorHAnsi" w:hAnsiTheme="majorHAnsi" w:cs="Times New Roman"/>
          <w:sz w:val="22"/>
          <w:szCs w:val="22"/>
        </w:rPr>
        <w:t xml:space="preserve"> Quebec’s Environmental Quality Act</w:t>
      </w:r>
      <w:r w:rsidR="00190A8A">
        <w:rPr>
          <w:rFonts w:asciiTheme="majorHAnsi" w:hAnsiTheme="majorHAnsi" w:cs="Times New Roman"/>
          <w:sz w:val="22"/>
          <w:szCs w:val="22"/>
        </w:rPr>
        <w:t xml:space="preserve"> states that, “</w:t>
      </w:r>
      <w:r w:rsidR="00190A8A" w:rsidRPr="00190A8A">
        <w:rPr>
          <w:rFonts w:asciiTheme="majorHAnsi" w:eastAsia="Times New Roman" w:hAnsiTheme="majorHAnsi" w:cs="Times New Roman"/>
          <w:sz w:val="22"/>
          <w:szCs w:val="22"/>
        </w:rPr>
        <w:t xml:space="preserve">Every person has a right to a healthy environment and to its protection, and to the protection of the living species inhabiting it, to the extent provided for by this Act and the regulations, orders, approvals and authorizations issued under any section of this Act and, as regards </w:t>
      </w:r>
      <w:proofErr w:type="spellStart"/>
      <w:r w:rsidR="00190A8A" w:rsidRPr="00190A8A">
        <w:rPr>
          <w:rFonts w:asciiTheme="majorHAnsi" w:eastAsia="Times New Roman" w:hAnsiTheme="majorHAnsi" w:cs="Times New Roman"/>
          <w:sz w:val="22"/>
          <w:szCs w:val="22"/>
        </w:rPr>
        <w:t>odours</w:t>
      </w:r>
      <w:proofErr w:type="spellEnd"/>
      <w:r w:rsidR="00190A8A" w:rsidRPr="00190A8A">
        <w:rPr>
          <w:rFonts w:asciiTheme="majorHAnsi" w:eastAsia="Times New Roman" w:hAnsiTheme="majorHAnsi" w:cs="Times New Roman"/>
          <w:sz w:val="22"/>
          <w:szCs w:val="22"/>
        </w:rPr>
        <w:t xml:space="preserve"> resulting from agricultural activities, to the extent prescribed by any standard originating from the exercise of the powers provided for in subparagraph 4 of the second paragraph of section 113 of the Act respecting land use planning and development (chapter A-19.1).</w:t>
      </w:r>
      <w:r w:rsidR="00190A8A">
        <w:rPr>
          <w:rStyle w:val="FootnoteReference"/>
          <w:rFonts w:asciiTheme="majorHAnsi" w:hAnsiTheme="majorHAnsi" w:cs="Times New Roman"/>
          <w:sz w:val="22"/>
          <w:szCs w:val="22"/>
        </w:rPr>
        <w:t xml:space="preserve"> </w:t>
      </w:r>
      <w:r w:rsidR="002035BC">
        <w:rPr>
          <w:rStyle w:val="FootnoteReference"/>
          <w:rFonts w:asciiTheme="majorHAnsi" w:hAnsiTheme="majorHAnsi" w:cs="Times New Roman"/>
          <w:sz w:val="22"/>
          <w:szCs w:val="22"/>
        </w:rPr>
        <w:footnoteReference w:id="7"/>
      </w:r>
    </w:p>
    <w:p w14:paraId="68B6200C" w14:textId="6408B153" w:rsidR="002035BC" w:rsidRDefault="00035D65" w:rsidP="002035BC">
      <w:pPr>
        <w:ind w:firstLine="720"/>
        <w:rPr>
          <w:rFonts w:asciiTheme="majorHAnsi" w:hAnsiTheme="majorHAnsi" w:cs="Times New Roman"/>
          <w:sz w:val="22"/>
          <w:szCs w:val="22"/>
        </w:rPr>
      </w:pPr>
      <w:r>
        <w:rPr>
          <w:rFonts w:asciiTheme="majorHAnsi" w:hAnsiTheme="majorHAnsi" w:cs="Times New Roman"/>
          <w:sz w:val="22"/>
          <w:szCs w:val="22"/>
        </w:rPr>
        <w:t xml:space="preserve">The activities of the fossil fuels industry in Canada </w:t>
      </w:r>
      <w:r w:rsidR="006802CD">
        <w:rPr>
          <w:rFonts w:asciiTheme="majorHAnsi" w:hAnsiTheme="majorHAnsi" w:cs="Times New Roman"/>
          <w:sz w:val="22"/>
          <w:szCs w:val="22"/>
        </w:rPr>
        <w:t xml:space="preserve">also </w:t>
      </w:r>
      <w:r w:rsidR="00304272">
        <w:rPr>
          <w:rFonts w:asciiTheme="majorHAnsi" w:hAnsiTheme="majorHAnsi" w:cs="Times New Roman"/>
          <w:sz w:val="22"/>
          <w:szCs w:val="22"/>
        </w:rPr>
        <w:t xml:space="preserve">violate </w:t>
      </w:r>
      <w:r w:rsidR="006802CD">
        <w:rPr>
          <w:rFonts w:asciiTheme="majorHAnsi" w:hAnsiTheme="majorHAnsi" w:cs="Times New Roman"/>
          <w:sz w:val="22"/>
          <w:szCs w:val="22"/>
        </w:rPr>
        <w:t>First Nation’s</w:t>
      </w:r>
      <w:r w:rsidR="00304272">
        <w:rPr>
          <w:rFonts w:asciiTheme="majorHAnsi" w:hAnsiTheme="majorHAnsi" w:cs="Times New Roman"/>
          <w:sz w:val="22"/>
          <w:szCs w:val="22"/>
        </w:rPr>
        <w:t xml:space="preserve"> constitutional and treaty rights.</w:t>
      </w:r>
    </w:p>
    <w:p w14:paraId="274B1482" w14:textId="77777777" w:rsidR="00304272" w:rsidRPr="00B056CC" w:rsidRDefault="00304272" w:rsidP="00304272">
      <w:pPr>
        <w:rPr>
          <w:rFonts w:asciiTheme="majorHAnsi" w:hAnsiTheme="majorHAnsi" w:cs="Times New Roman"/>
          <w:sz w:val="22"/>
          <w:szCs w:val="22"/>
        </w:rPr>
      </w:pPr>
    </w:p>
    <w:p w14:paraId="065E787A" w14:textId="77777777" w:rsidR="00304272" w:rsidRDefault="00304272" w:rsidP="00304272">
      <w:pPr>
        <w:ind w:left="720"/>
        <w:rPr>
          <w:rFonts w:asciiTheme="majorHAnsi" w:hAnsiTheme="majorHAnsi" w:cs="Times New Roman"/>
          <w:sz w:val="22"/>
          <w:szCs w:val="22"/>
        </w:rPr>
      </w:pPr>
      <w:r w:rsidRPr="0075758C">
        <w:rPr>
          <w:rFonts w:asciiTheme="majorHAnsi" w:hAnsiTheme="majorHAnsi" w:cs="Times New Roman"/>
          <w:sz w:val="22"/>
          <w:szCs w:val="22"/>
        </w:rPr>
        <w:t>iii.</w:t>
      </w:r>
      <w:r w:rsidRPr="00B056CC">
        <w:rPr>
          <w:rFonts w:asciiTheme="majorHAnsi" w:hAnsiTheme="majorHAnsi" w:cs="Times New Roman"/>
          <w:sz w:val="22"/>
          <w:szCs w:val="22"/>
        </w:rPr>
        <w:t xml:space="preserve"> </w:t>
      </w:r>
      <w:r>
        <w:rPr>
          <w:rFonts w:asciiTheme="majorHAnsi" w:hAnsiTheme="majorHAnsi" w:cs="Times New Roman"/>
          <w:sz w:val="22"/>
          <w:szCs w:val="22"/>
        </w:rPr>
        <w:t>Oil sands development in Canada has violated the First Nations’ constitutional and treaty rights.  Specifically, these developments violate:</w:t>
      </w:r>
    </w:p>
    <w:p w14:paraId="71408B1A" w14:textId="77777777" w:rsidR="00304272" w:rsidRDefault="00304272" w:rsidP="00304272">
      <w:pPr>
        <w:pStyle w:val="ListParagraph"/>
        <w:numPr>
          <w:ilvl w:val="0"/>
          <w:numId w:val="2"/>
        </w:numPr>
        <w:rPr>
          <w:rFonts w:asciiTheme="majorHAnsi" w:hAnsiTheme="majorHAnsi" w:cs="Times New Roman"/>
          <w:sz w:val="22"/>
          <w:szCs w:val="22"/>
        </w:rPr>
      </w:pPr>
      <w:r w:rsidRPr="00644CE7">
        <w:rPr>
          <w:rFonts w:asciiTheme="majorHAnsi" w:hAnsiTheme="majorHAnsi" w:cs="Times New Roman"/>
          <w:sz w:val="22"/>
          <w:szCs w:val="22"/>
        </w:rPr>
        <w:t xml:space="preserve">The right to consultation </w:t>
      </w:r>
      <w:r>
        <w:rPr>
          <w:rFonts w:asciiTheme="majorHAnsi" w:hAnsiTheme="majorHAnsi" w:cs="Times New Roman"/>
          <w:sz w:val="22"/>
          <w:szCs w:val="22"/>
        </w:rPr>
        <w:t xml:space="preserve">and accommodation (Treaty </w:t>
      </w:r>
      <w:r w:rsidRPr="00644CE7">
        <w:rPr>
          <w:rFonts w:asciiTheme="majorHAnsi" w:hAnsiTheme="majorHAnsi" w:cs="Times New Roman"/>
          <w:sz w:val="22"/>
          <w:szCs w:val="22"/>
        </w:rPr>
        <w:t>8</w:t>
      </w:r>
      <w:r>
        <w:rPr>
          <w:rStyle w:val="FootnoteReference"/>
          <w:rFonts w:asciiTheme="majorHAnsi" w:hAnsiTheme="majorHAnsi" w:cs="Times New Roman"/>
          <w:sz w:val="22"/>
          <w:szCs w:val="22"/>
        </w:rPr>
        <w:footnoteReference w:id="8"/>
      </w:r>
      <w:r w:rsidRPr="00644CE7">
        <w:rPr>
          <w:rFonts w:asciiTheme="majorHAnsi" w:hAnsiTheme="majorHAnsi" w:cs="Times New Roman"/>
          <w:sz w:val="22"/>
          <w:szCs w:val="22"/>
        </w:rPr>
        <w:t>)</w:t>
      </w:r>
    </w:p>
    <w:p w14:paraId="542559C8" w14:textId="77777777" w:rsidR="00304272" w:rsidRPr="00F117CB" w:rsidRDefault="00304272" w:rsidP="00304272">
      <w:pPr>
        <w:pStyle w:val="ListParagraph"/>
        <w:numPr>
          <w:ilvl w:val="0"/>
          <w:numId w:val="2"/>
        </w:numPr>
        <w:rPr>
          <w:rFonts w:asciiTheme="majorHAnsi" w:hAnsiTheme="majorHAnsi" w:cs="Times New Roman"/>
          <w:sz w:val="22"/>
          <w:szCs w:val="22"/>
        </w:rPr>
      </w:pPr>
      <w:r w:rsidRPr="006028BB">
        <w:rPr>
          <w:rFonts w:asciiTheme="majorHAnsi" w:hAnsiTheme="majorHAnsi" w:cs="Times New Roman"/>
          <w:sz w:val="22"/>
          <w:szCs w:val="22"/>
        </w:rPr>
        <w:t>Constitution Act, 1982 s35: “(1) The existing aboriginal and treaty rights of the aboriginal peoples of Canada are hereby recognized and affirmed.  (2) In this act, ‘aboriginal peoples of Canada’ includes the Indian, Inuit and Metis peoples of Canada.”</w:t>
      </w:r>
    </w:p>
    <w:p w14:paraId="37F238E1" w14:textId="77777777" w:rsidR="00304272" w:rsidRPr="006028BB" w:rsidRDefault="00304272" w:rsidP="00304272">
      <w:pPr>
        <w:pStyle w:val="ListParagraph"/>
        <w:ind w:left="1800"/>
        <w:rPr>
          <w:rFonts w:asciiTheme="majorHAnsi" w:hAnsiTheme="majorHAnsi" w:cs="Times New Roman"/>
          <w:sz w:val="22"/>
          <w:szCs w:val="22"/>
        </w:rPr>
      </w:pPr>
      <w:r>
        <w:rPr>
          <w:rFonts w:asciiTheme="majorHAnsi" w:hAnsiTheme="majorHAnsi" w:cs="Verdana"/>
          <w:sz w:val="22"/>
          <w:szCs w:val="22"/>
        </w:rPr>
        <w:t xml:space="preserve">Keepers of the Athabasca member Vivienne </w:t>
      </w:r>
      <w:proofErr w:type="spellStart"/>
      <w:r>
        <w:rPr>
          <w:rFonts w:asciiTheme="majorHAnsi" w:hAnsiTheme="majorHAnsi" w:cs="Verdana"/>
          <w:sz w:val="22"/>
          <w:szCs w:val="22"/>
        </w:rPr>
        <w:t>Beisel</w:t>
      </w:r>
      <w:proofErr w:type="spellEnd"/>
      <w:r>
        <w:rPr>
          <w:rFonts w:asciiTheme="majorHAnsi" w:hAnsiTheme="majorHAnsi" w:cs="Verdana"/>
          <w:sz w:val="22"/>
          <w:szCs w:val="22"/>
        </w:rPr>
        <w:t xml:space="preserve"> explains how the oil sands development has violated Treaty 8 and the Constitution: “’</w:t>
      </w:r>
      <w:r w:rsidRPr="006028BB">
        <w:rPr>
          <w:rFonts w:asciiTheme="majorHAnsi" w:hAnsiTheme="majorHAnsi" w:cs="Verdana"/>
          <w:sz w:val="22"/>
          <w:szCs w:val="22"/>
        </w:rPr>
        <w:t>The cumulative impacts of oil sands development has all but destroyed the traditional livelihood of First Nations in northern Athabasca watershed. The law is clear that First Nations must be consulted whenever the province contemplates action that may negatively affec</w:t>
      </w:r>
      <w:r>
        <w:rPr>
          <w:rFonts w:asciiTheme="majorHAnsi" w:hAnsiTheme="majorHAnsi" w:cs="Verdana"/>
          <w:sz w:val="22"/>
          <w:szCs w:val="22"/>
        </w:rPr>
        <w:t>t Aboriginal and treaty rights…</w:t>
      </w:r>
      <w:r w:rsidRPr="006028BB">
        <w:rPr>
          <w:rFonts w:asciiTheme="majorHAnsi" w:hAnsiTheme="majorHAnsi" w:cs="Verdana"/>
          <w:sz w:val="22"/>
          <w:szCs w:val="22"/>
        </w:rPr>
        <w:t xml:space="preserve">The province has continued to issue approvals for new developments without obtaining their consent or consulting with First Nations in a meaningful and substantial way. This is in direct breach of Treaty 8 First Nations' treaty-protected Aboriginal rights to livelihood, and thus a violation of </w:t>
      </w:r>
      <w:proofErr w:type="gramStart"/>
      <w:r w:rsidRPr="006028BB">
        <w:rPr>
          <w:rFonts w:asciiTheme="majorHAnsi" w:hAnsiTheme="majorHAnsi" w:cs="Verdana"/>
          <w:sz w:val="22"/>
          <w:szCs w:val="22"/>
        </w:rPr>
        <w:t>s.35(</w:t>
      </w:r>
      <w:proofErr w:type="gramEnd"/>
      <w:r w:rsidRPr="006028BB">
        <w:rPr>
          <w:rFonts w:asciiTheme="majorHAnsi" w:hAnsiTheme="majorHAnsi" w:cs="Verdana"/>
          <w:sz w:val="22"/>
          <w:szCs w:val="22"/>
        </w:rPr>
        <w:t>1) of the Constitution and Articles 26 and 27 of the United Nations Declaration on the Rights of Indigenous Peoples', and international agreement which Canada, along with three other nations, has r</w:t>
      </w:r>
      <w:r>
        <w:rPr>
          <w:rFonts w:asciiTheme="majorHAnsi" w:hAnsiTheme="majorHAnsi" w:cs="Verdana"/>
          <w:sz w:val="22"/>
          <w:szCs w:val="22"/>
        </w:rPr>
        <w:t>efused to sign.’”</w:t>
      </w:r>
      <w:r>
        <w:rPr>
          <w:rStyle w:val="FootnoteReference"/>
          <w:rFonts w:asciiTheme="majorHAnsi" w:hAnsiTheme="majorHAnsi" w:cs="Verdana"/>
          <w:sz w:val="22"/>
          <w:szCs w:val="22"/>
        </w:rPr>
        <w:footnoteReference w:id="9"/>
      </w:r>
    </w:p>
    <w:p w14:paraId="627CE6CE" w14:textId="77777777" w:rsidR="00304272" w:rsidRPr="008011E9" w:rsidRDefault="00304272" w:rsidP="00304272">
      <w:pPr>
        <w:pStyle w:val="ListParagraph"/>
        <w:numPr>
          <w:ilvl w:val="0"/>
          <w:numId w:val="2"/>
        </w:numPr>
        <w:rPr>
          <w:rFonts w:asciiTheme="majorHAnsi" w:hAnsiTheme="majorHAnsi" w:cs="Times New Roman"/>
          <w:sz w:val="22"/>
          <w:szCs w:val="22"/>
        </w:rPr>
      </w:pPr>
      <w:r>
        <w:rPr>
          <w:rFonts w:asciiTheme="majorHAnsi" w:hAnsiTheme="majorHAnsi" w:cs="Times New Roman"/>
          <w:sz w:val="22"/>
          <w:szCs w:val="22"/>
        </w:rPr>
        <w:t xml:space="preserve">The right to waters and land and to </w:t>
      </w:r>
      <w:proofErr w:type="gramStart"/>
      <w:r>
        <w:rPr>
          <w:rFonts w:asciiTheme="majorHAnsi" w:hAnsiTheme="majorHAnsi" w:cs="Times New Roman"/>
          <w:sz w:val="22"/>
          <w:szCs w:val="22"/>
        </w:rPr>
        <w:t>fish,</w:t>
      </w:r>
      <w:proofErr w:type="gramEnd"/>
      <w:r>
        <w:rPr>
          <w:rFonts w:asciiTheme="majorHAnsi" w:hAnsiTheme="majorHAnsi" w:cs="Times New Roman"/>
          <w:sz w:val="22"/>
          <w:szCs w:val="22"/>
        </w:rPr>
        <w:t xml:space="preserve"> hunt and trap (Treaty 6,</w:t>
      </w:r>
      <w:r>
        <w:rPr>
          <w:rStyle w:val="FootnoteReference"/>
          <w:rFonts w:asciiTheme="majorHAnsi" w:hAnsiTheme="majorHAnsi" w:cs="Times New Roman"/>
          <w:sz w:val="22"/>
          <w:szCs w:val="22"/>
        </w:rPr>
        <w:footnoteReference w:id="10"/>
      </w:r>
      <w:r>
        <w:rPr>
          <w:rFonts w:asciiTheme="majorHAnsi" w:hAnsiTheme="majorHAnsi" w:cs="Times New Roman"/>
          <w:sz w:val="22"/>
          <w:szCs w:val="22"/>
        </w:rPr>
        <w:t xml:space="preserve"> Treaty 7</w:t>
      </w:r>
      <w:r>
        <w:rPr>
          <w:rStyle w:val="FootnoteReference"/>
          <w:rFonts w:asciiTheme="majorHAnsi" w:hAnsiTheme="majorHAnsi" w:cs="Times New Roman"/>
          <w:sz w:val="22"/>
          <w:szCs w:val="22"/>
        </w:rPr>
        <w:footnoteReference w:id="11"/>
      </w:r>
      <w:r>
        <w:rPr>
          <w:rFonts w:asciiTheme="majorHAnsi" w:hAnsiTheme="majorHAnsi" w:cs="Times New Roman"/>
          <w:sz w:val="22"/>
          <w:szCs w:val="22"/>
        </w:rPr>
        <w:t>, Treaty 8</w:t>
      </w:r>
      <w:r>
        <w:rPr>
          <w:rStyle w:val="FootnoteReference"/>
          <w:rFonts w:asciiTheme="majorHAnsi" w:hAnsiTheme="majorHAnsi" w:cs="Times New Roman"/>
          <w:sz w:val="22"/>
          <w:szCs w:val="22"/>
        </w:rPr>
        <w:footnoteReference w:id="12"/>
      </w:r>
      <w:r>
        <w:rPr>
          <w:rFonts w:asciiTheme="majorHAnsi" w:hAnsiTheme="majorHAnsi" w:cs="Times New Roman"/>
          <w:sz w:val="22"/>
          <w:szCs w:val="22"/>
        </w:rPr>
        <w:t xml:space="preserve">, </w:t>
      </w:r>
      <w:r w:rsidRPr="008011E9">
        <w:rPr>
          <w:rFonts w:asciiTheme="majorHAnsi" w:hAnsiTheme="majorHAnsi" w:cs="Times New Roman"/>
          <w:b/>
          <w:i/>
          <w:sz w:val="22"/>
          <w:szCs w:val="22"/>
        </w:rPr>
        <w:t>Constitution Act of 1867 s91?)</w:t>
      </w:r>
    </w:p>
    <w:p w14:paraId="7402D92E" w14:textId="77777777" w:rsidR="0075758C" w:rsidRDefault="0075758C" w:rsidP="00C26D4C">
      <w:pPr>
        <w:ind w:left="720"/>
        <w:rPr>
          <w:rFonts w:asciiTheme="majorHAnsi" w:hAnsiTheme="majorHAnsi" w:cs="Times New Roman"/>
          <w:sz w:val="22"/>
          <w:szCs w:val="22"/>
        </w:rPr>
      </w:pPr>
    </w:p>
    <w:p w14:paraId="71E42D99" w14:textId="334E8C53" w:rsidR="004941DA" w:rsidRPr="00B056CC" w:rsidRDefault="00304272" w:rsidP="00304272">
      <w:pPr>
        <w:ind w:firstLine="720"/>
        <w:rPr>
          <w:rFonts w:asciiTheme="majorHAnsi" w:hAnsiTheme="majorHAnsi" w:cs="Times New Roman"/>
          <w:sz w:val="22"/>
          <w:szCs w:val="22"/>
        </w:rPr>
      </w:pPr>
      <w:r>
        <w:rPr>
          <w:rFonts w:asciiTheme="majorHAnsi" w:hAnsiTheme="majorHAnsi" w:cs="Times New Roman"/>
          <w:sz w:val="22"/>
          <w:szCs w:val="22"/>
        </w:rPr>
        <w:t xml:space="preserve">Finally, the activities of the fossil fuels companies in which the University of Toronto is invested frustrate international law.  First, </w:t>
      </w:r>
      <w:r w:rsidR="00EE11FD" w:rsidRPr="00B056CC">
        <w:rPr>
          <w:rFonts w:asciiTheme="majorHAnsi" w:hAnsiTheme="majorHAnsi" w:cs="Times New Roman"/>
          <w:sz w:val="22"/>
          <w:szCs w:val="22"/>
        </w:rPr>
        <w:t>Article 3 of the Universal Declaration of Human rights states that, “Everyone has the right to life, liberty and security of person.”</w:t>
      </w:r>
      <w:r w:rsidR="00EE11FD" w:rsidRPr="00B056CC">
        <w:rPr>
          <w:rStyle w:val="FootnoteReference"/>
          <w:rFonts w:asciiTheme="majorHAnsi" w:hAnsiTheme="majorHAnsi" w:cs="Times New Roman"/>
          <w:sz w:val="22"/>
          <w:szCs w:val="22"/>
        </w:rPr>
        <w:footnoteReference w:id="13"/>
      </w:r>
      <w:r w:rsidR="00C26D4C">
        <w:rPr>
          <w:rFonts w:asciiTheme="majorHAnsi" w:hAnsiTheme="majorHAnsi" w:cs="Times New Roman"/>
          <w:sz w:val="22"/>
          <w:szCs w:val="22"/>
        </w:rPr>
        <w:t xml:space="preserve">  The right to life is a precondition to all other fundamental human rights.  As outlined in 3.a, the activities of companies in the fossil fuels industry undermine the right to life by depriving people of the benefits of a healthy environment.</w:t>
      </w:r>
      <w:r>
        <w:rPr>
          <w:rFonts w:asciiTheme="majorHAnsi" w:hAnsiTheme="majorHAnsi" w:cs="Times New Roman"/>
          <w:sz w:val="22"/>
          <w:szCs w:val="22"/>
        </w:rPr>
        <w:t xml:space="preserve">  In addition, t</w:t>
      </w:r>
      <w:r w:rsidR="004941DA" w:rsidRPr="00B056CC">
        <w:rPr>
          <w:rFonts w:asciiTheme="majorHAnsi" w:hAnsiTheme="majorHAnsi" w:cs="Times New Roman"/>
          <w:sz w:val="22"/>
          <w:szCs w:val="22"/>
        </w:rPr>
        <w:t>he Hague Declaration on the Environment</w:t>
      </w:r>
      <w:r w:rsidR="00C26D4C">
        <w:rPr>
          <w:rFonts w:asciiTheme="majorHAnsi" w:hAnsiTheme="majorHAnsi" w:cs="Times New Roman"/>
          <w:sz w:val="22"/>
          <w:szCs w:val="22"/>
        </w:rPr>
        <w:t xml:space="preserve"> (1989)</w:t>
      </w:r>
      <w:r w:rsidR="004941DA" w:rsidRPr="00B056CC">
        <w:rPr>
          <w:rFonts w:asciiTheme="majorHAnsi" w:hAnsiTheme="majorHAnsi" w:cs="Times New Roman"/>
          <w:sz w:val="22"/>
          <w:szCs w:val="22"/>
        </w:rPr>
        <w:t>, to which Canada is a signatory</w:t>
      </w:r>
      <w:r w:rsidR="00E04D10" w:rsidRPr="00B056CC">
        <w:rPr>
          <w:rFonts w:asciiTheme="majorHAnsi" w:hAnsiTheme="majorHAnsi" w:cs="Times New Roman"/>
          <w:sz w:val="22"/>
          <w:szCs w:val="22"/>
        </w:rPr>
        <w:t xml:space="preserve">, </w:t>
      </w:r>
      <w:r w:rsidR="00C26D4C">
        <w:rPr>
          <w:rFonts w:asciiTheme="majorHAnsi" w:hAnsiTheme="majorHAnsi" w:cs="Times New Roman"/>
          <w:sz w:val="22"/>
          <w:szCs w:val="22"/>
        </w:rPr>
        <w:t>makes the link between the right to life and the harmful change effects of climate change explicit:</w:t>
      </w:r>
      <w:r w:rsidR="00E04D10" w:rsidRPr="00B056CC">
        <w:rPr>
          <w:rFonts w:asciiTheme="majorHAnsi" w:hAnsiTheme="majorHAnsi" w:cs="Times New Roman"/>
          <w:sz w:val="22"/>
          <w:szCs w:val="22"/>
        </w:rPr>
        <w:t xml:space="preserve"> “</w:t>
      </w:r>
      <w:r w:rsidR="00463EA4" w:rsidRPr="00B056CC">
        <w:rPr>
          <w:rFonts w:asciiTheme="majorHAnsi" w:hAnsiTheme="majorHAnsi" w:cs="Times New Roman"/>
          <w:sz w:val="22"/>
          <w:szCs w:val="22"/>
        </w:rPr>
        <w:t>The right to live is the right from which all other rights stem.  Guaranteeing this right is the paramount duty of those in charge of all States throughout the world.  Today, the very conditions of life on our planet are threatened by the severe attacks to which the earth’s atmosphere is subjected</w:t>
      </w:r>
      <w:r w:rsidR="00C26D4C">
        <w:rPr>
          <w:rFonts w:asciiTheme="majorHAnsi" w:hAnsiTheme="majorHAnsi" w:cs="Times New Roman"/>
          <w:sz w:val="22"/>
          <w:szCs w:val="22"/>
        </w:rPr>
        <w:t>.</w:t>
      </w:r>
      <w:r w:rsidR="00463EA4" w:rsidRPr="00B056CC">
        <w:rPr>
          <w:rFonts w:asciiTheme="majorHAnsi" w:hAnsiTheme="majorHAnsi" w:cs="Times New Roman"/>
          <w:sz w:val="22"/>
          <w:szCs w:val="22"/>
        </w:rPr>
        <w:t>”</w:t>
      </w:r>
      <w:r w:rsidR="00E04D10" w:rsidRPr="00B056CC">
        <w:rPr>
          <w:rStyle w:val="FootnoteReference"/>
          <w:rFonts w:asciiTheme="majorHAnsi" w:hAnsiTheme="majorHAnsi" w:cs="Times New Roman"/>
          <w:sz w:val="22"/>
          <w:szCs w:val="22"/>
        </w:rPr>
        <w:footnoteReference w:id="14"/>
      </w:r>
      <w:r w:rsidR="00463EA4" w:rsidRPr="00B056CC">
        <w:rPr>
          <w:rFonts w:asciiTheme="majorHAnsi" w:hAnsiTheme="majorHAnsi" w:cs="Times New Roman"/>
          <w:sz w:val="22"/>
          <w:szCs w:val="22"/>
        </w:rPr>
        <w:t xml:space="preserve">  </w:t>
      </w:r>
      <w:r w:rsidR="00102A69">
        <w:rPr>
          <w:rFonts w:asciiTheme="majorHAnsi" w:hAnsiTheme="majorHAnsi" w:cs="Times New Roman"/>
          <w:sz w:val="22"/>
          <w:szCs w:val="22"/>
        </w:rPr>
        <w:t>In</w:t>
      </w:r>
      <w:r w:rsidR="00463EA4" w:rsidRPr="00B056CC">
        <w:rPr>
          <w:rFonts w:asciiTheme="majorHAnsi" w:hAnsiTheme="majorHAnsi" w:cs="Times New Roman"/>
          <w:sz w:val="22"/>
          <w:szCs w:val="22"/>
        </w:rPr>
        <w:t xml:space="preserve"> signing onto this Declaration, Canada recognized the </w:t>
      </w:r>
      <w:r w:rsidR="00EE77E4" w:rsidRPr="00B056CC">
        <w:rPr>
          <w:rFonts w:asciiTheme="majorHAnsi" w:hAnsiTheme="majorHAnsi" w:cs="Times New Roman"/>
          <w:sz w:val="22"/>
          <w:szCs w:val="22"/>
        </w:rPr>
        <w:t xml:space="preserve">reality of the threat to human life posed by climate change and pledged to take measures to address that threat.  The University of Toronto’s investment in fossil fuels frustrates any efforts Canada </w:t>
      </w:r>
      <w:r w:rsidR="00C26D4C">
        <w:rPr>
          <w:rFonts w:asciiTheme="majorHAnsi" w:hAnsiTheme="majorHAnsi" w:cs="Times New Roman"/>
          <w:sz w:val="22"/>
          <w:szCs w:val="22"/>
        </w:rPr>
        <w:t xml:space="preserve">has taken or may take in the future </w:t>
      </w:r>
      <w:r w:rsidR="00EE77E4" w:rsidRPr="00B056CC">
        <w:rPr>
          <w:rFonts w:asciiTheme="majorHAnsi" w:hAnsiTheme="majorHAnsi" w:cs="Times New Roman"/>
          <w:sz w:val="22"/>
          <w:szCs w:val="22"/>
        </w:rPr>
        <w:t>to address</w:t>
      </w:r>
      <w:r w:rsidR="00102A69">
        <w:rPr>
          <w:rFonts w:asciiTheme="majorHAnsi" w:hAnsiTheme="majorHAnsi" w:cs="Times New Roman"/>
          <w:sz w:val="22"/>
          <w:szCs w:val="22"/>
        </w:rPr>
        <w:t xml:space="preserve"> the problem of climate change by supporting the companies that most significantly contribute to the problem.</w:t>
      </w:r>
    </w:p>
    <w:p w14:paraId="0BEA2B75" w14:textId="77777777" w:rsidR="004941DA" w:rsidRPr="00B056CC" w:rsidRDefault="004941DA" w:rsidP="00550E16">
      <w:pPr>
        <w:rPr>
          <w:rFonts w:asciiTheme="majorHAnsi" w:hAnsiTheme="majorHAnsi" w:cs="Times New Roman"/>
          <w:sz w:val="22"/>
          <w:szCs w:val="22"/>
        </w:rPr>
      </w:pPr>
    </w:p>
    <w:p w14:paraId="58A978DF" w14:textId="1C1DA834" w:rsidR="00A613F9" w:rsidRPr="00B056CC" w:rsidRDefault="00A613F9" w:rsidP="00A613F9">
      <w:pPr>
        <w:rPr>
          <w:rFonts w:asciiTheme="majorHAnsi" w:hAnsiTheme="majorHAnsi"/>
        </w:rPr>
      </w:pPr>
    </w:p>
    <w:sectPr w:rsidR="00A613F9" w:rsidRPr="00B056CC" w:rsidSect="00C26C6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81AC89" w14:textId="77777777" w:rsidR="00765C34" w:rsidRDefault="00765C34" w:rsidP="00EE11FD">
      <w:r>
        <w:separator/>
      </w:r>
    </w:p>
  </w:endnote>
  <w:endnote w:type="continuationSeparator" w:id="0">
    <w:p w14:paraId="0C5F50DF" w14:textId="77777777" w:rsidR="00765C34" w:rsidRDefault="00765C34" w:rsidP="00EE1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69456E" w14:textId="77777777" w:rsidR="00765C34" w:rsidRDefault="00765C34" w:rsidP="00EE11FD">
      <w:r>
        <w:separator/>
      </w:r>
    </w:p>
  </w:footnote>
  <w:footnote w:type="continuationSeparator" w:id="0">
    <w:p w14:paraId="6ECA3AF1" w14:textId="77777777" w:rsidR="00765C34" w:rsidRDefault="00765C34" w:rsidP="00EE11FD">
      <w:r>
        <w:continuationSeparator/>
      </w:r>
    </w:p>
  </w:footnote>
  <w:footnote w:id="1">
    <w:p w14:paraId="609B23F2" w14:textId="77777777" w:rsidR="00765C34" w:rsidRPr="008011E9" w:rsidRDefault="00765C34">
      <w:pPr>
        <w:pStyle w:val="FootnoteText"/>
        <w:rPr>
          <w:rFonts w:asciiTheme="majorHAnsi" w:hAnsiTheme="majorHAnsi"/>
          <w:sz w:val="22"/>
          <w:szCs w:val="22"/>
        </w:rPr>
      </w:pPr>
      <w:r w:rsidRPr="008011E9">
        <w:rPr>
          <w:rStyle w:val="FootnoteReference"/>
          <w:rFonts w:asciiTheme="majorHAnsi" w:hAnsiTheme="majorHAnsi"/>
          <w:sz w:val="22"/>
          <w:szCs w:val="22"/>
        </w:rPr>
        <w:footnoteRef/>
      </w:r>
      <w:r w:rsidRPr="008011E9">
        <w:rPr>
          <w:rFonts w:asciiTheme="majorHAnsi" w:hAnsiTheme="majorHAnsi"/>
          <w:sz w:val="22"/>
          <w:szCs w:val="22"/>
        </w:rPr>
        <w:t xml:space="preserve"> http://www.shell.ca/en/aboutshell/at-a-glance-tpkg.html</w:t>
      </w:r>
    </w:p>
  </w:footnote>
  <w:footnote w:id="2">
    <w:p w14:paraId="3ABED9D9" w14:textId="77777777" w:rsidR="00765C34" w:rsidRPr="008011E9" w:rsidRDefault="00765C34">
      <w:pPr>
        <w:pStyle w:val="FootnoteText"/>
        <w:rPr>
          <w:rFonts w:asciiTheme="majorHAnsi" w:hAnsiTheme="majorHAnsi"/>
          <w:sz w:val="22"/>
          <w:szCs w:val="22"/>
        </w:rPr>
      </w:pPr>
      <w:r w:rsidRPr="008011E9">
        <w:rPr>
          <w:rStyle w:val="FootnoteReference"/>
          <w:rFonts w:asciiTheme="majorHAnsi" w:hAnsiTheme="majorHAnsi"/>
          <w:sz w:val="22"/>
          <w:szCs w:val="22"/>
        </w:rPr>
        <w:footnoteRef/>
      </w:r>
      <w:r w:rsidRPr="008011E9">
        <w:rPr>
          <w:rFonts w:asciiTheme="majorHAnsi" w:hAnsiTheme="majorHAnsi"/>
          <w:sz w:val="22"/>
          <w:szCs w:val="22"/>
        </w:rPr>
        <w:t xml:space="preserve"> </w:t>
      </w:r>
      <w:hyperlink r:id="rId1" w:history="1">
        <w:r w:rsidRPr="008011E9">
          <w:rPr>
            <w:rStyle w:val="Hyperlink"/>
            <w:rFonts w:asciiTheme="majorHAnsi" w:hAnsiTheme="majorHAnsi"/>
            <w:sz w:val="22"/>
            <w:szCs w:val="22"/>
          </w:rPr>
          <w:t>http://www.exxonmobil.com/Corporate/about_what.aspx</w:t>
        </w:r>
      </w:hyperlink>
      <w:proofErr w:type="gramStart"/>
      <w:r w:rsidRPr="008011E9">
        <w:rPr>
          <w:rFonts w:asciiTheme="majorHAnsi" w:hAnsiTheme="majorHAnsi"/>
          <w:sz w:val="22"/>
          <w:szCs w:val="22"/>
        </w:rPr>
        <w:t xml:space="preserve">  </w:t>
      </w:r>
      <w:proofErr w:type="spellStart"/>
      <w:r w:rsidRPr="008011E9">
        <w:rPr>
          <w:rFonts w:asciiTheme="majorHAnsi" w:hAnsiTheme="majorHAnsi"/>
          <w:sz w:val="22"/>
          <w:szCs w:val="22"/>
        </w:rPr>
        <w:t>Gi</w:t>
      </w:r>
      <w:proofErr w:type="spellEnd"/>
      <w:proofErr w:type="gramEnd"/>
    </w:p>
  </w:footnote>
  <w:footnote w:id="3">
    <w:p w14:paraId="3168FAD2" w14:textId="77777777" w:rsidR="00765C34" w:rsidRPr="008011E9" w:rsidRDefault="00765C34" w:rsidP="002035BC">
      <w:pPr>
        <w:pStyle w:val="FootnoteText"/>
        <w:rPr>
          <w:rFonts w:asciiTheme="majorHAnsi" w:hAnsiTheme="majorHAnsi"/>
          <w:sz w:val="22"/>
          <w:szCs w:val="22"/>
        </w:rPr>
      </w:pPr>
      <w:r w:rsidRPr="008011E9">
        <w:rPr>
          <w:rStyle w:val="FootnoteReference"/>
          <w:rFonts w:asciiTheme="majorHAnsi" w:hAnsiTheme="majorHAnsi"/>
          <w:sz w:val="22"/>
          <w:szCs w:val="22"/>
        </w:rPr>
        <w:footnoteRef/>
      </w:r>
      <w:r w:rsidRPr="008011E9">
        <w:rPr>
          <w:rFonts w:asciiTheme="majorHAnsi" w:hAnsiTheme="majorHAnsi"/>
          <w:sz w:val="22"/>
          <w:szCs w:val="22"/>
        </w:rPr>
        <w:t xml:space="preserve"> http://laws-lois.justice.gc.ca/eng/Const/page-15.html#h-44</w:t>
      </w:r>
    </w:p>
  </w:footnote>
  <w:footnote w:id="4">
    <w:p w14:paraId="78F86984" w14:textId="77777777" w:rsidR="00765C34" w:rsidRPr="008011E9" w:rsidRDefault="00765C34" w:rsidP="002035BC">
      <w:pPr>
        <w:pStyle w:val="FootnoteText"/>
        <w:rPr>
          <w:rFonts w:asciiTheme="majorHAnsi" w:hAnsiTheme="majorHAnsi"/>
          <w:sz w:val="22"/>
          <w:szCs w:val="22"/>
        </w:rPr>
      </w:pPr>
      <w:r w:rsidRPr="008011E9">
        <w:rPr>
          <w:rStyle w:val="FootnoteReference"/>
          <w:rFonts w:asciiTheme="majorHAnsi" w:hAnsiTheme="majorHAnsi"/>
          <w:sz w:val="22"/>
          <w:szCs w:val="22"/>
        </w:rPr>
        <w:footnoteRef/>
      </w:r>
      <w:r w:rsidRPr="008011E9">
        <w:rPr>
          <w:rFonts w:asciiTheme="majorHAnsi" w:hAnsiTheme="majorHAnsi"/>
          <w:sz w:val="22"/>
          <w:szCs w:val="22"/>
        </w:rPr>
        <w:t xml:space="preserve"> http://www.e-laws.gov.on.ca/html/statutes/english/elaws_statutes_93e28_e.htm</w:t>
      </w:r>
    </w:p>
  </w:footnote>
  <w:footnote w:id="5">
    <w:p w14:paraId="6CF4E9C8" w14:textId="77777777" w:rsidR="00765C34" w:rsidRPr="008011E9" w:rsidRDefault="00765C34" w:rsidP="002035BC">
      <w:pPr>
        <w:pStyle w:val="FootnoteText"/>
        <w:rPr>
          <w:rFonts w:asciiTheme="majorHAnsi" w:hAnsiTheme="majorHAnsi"/>
          <w:sz w:val="22"/>
          <w:szCs w:val="22"/>
        </w:rPr>
      </w:pPr>
      <w:r w:rsidRPr="008011E9">
        <w:rPr>
          <w:rStyle w:val="FootnoteReference"/>
          <w:rFonts w:asciiTheme="majorHAnsi" w:hAnsiTheme="majorHAnsi"/>
          <w:sz w:val="22"/>
          <w:szCs w:val="22"/>
        </w:rPr>
        <w:footnoteRef/>
      </w:r>
      <w:r w:rsidRPr="008011E9">
        <w:rPr>
          <w:rFonts w:asciiTheme="majorHAnsi" w:hAnsiTheme="majorHAnsi"/>
          <w:sz w:val="22"/>
          <w:szCs w:val="22"/>
        </w:rPr>
        <w:t xml:space="preserve"> http://laws-lois.justice.gc.ca/eng/acts/Y-2.2/index.html</w:t>
      </w:r>
    </w:p>
  </w:footnote>
  <w:footnote w:id="6">
    <w:p w14:paraId="0AB98F2D" w14:textId="77777777" w:rsidR="00765C34" w:rsidRPr="008011E9" w:rsidRDefault="00765C34" w:rsidP="002035BC">
      <w:pPr>
        <w:pStyle w:val="FootnoteText"/>
        <w:rPr>
          <w:rFonts w:asciiTheme="majorHAnsi" w:hAnsiTheme="majorHAnsi"/>
          <w:sz w:val="22"/>
          <w:szCs w:val="22"/>
        </w:rPr>
      </w:pPr>
      <w:r w:rsidRPr="008011E9">
        <w:rPr>
          <w:rStyle w:val="FootnoteReference"/>
          <w:rFonts w:asciiTheme="majorHAnsi" w:hAnsiTheme="majorHAnsi"/>
          <w:sz w:val="22"/>
          <w:szCs w:val="22"/>
        </w:rPr>
        <w:footnoteRef/>
      </w:r>
      <w:r w:rsidRPr="008011E9">
        <w:rPr>
          <w:rFonts w:asciiTheme="majorHAnsi" w:hAnsiTheme="majorHAnsi"/>
          <w:sz w:val="22"/>
          <w:szCs w:val="22"/>
        </w:rPr>
        <w:t xml:space="preserve"> http://www.justice.gov.nt.ca/PDF/ACTS/Environmental%20Rights.pdf</w:t>
      </w:r>
    </w:p>
  </w:footnote>
  <w:footnote w:id="7">
    <w:p w14:paraId="0BB66C05" w14:textId="77777777" w:rsidR="00765C34" w:rsidRDefault="00765C34" w:rsidP="002035BC">
      <w:pPr>
        <w:pStyle w:val="FootnoteText"/>
      </w:pPr>
      <w:r w:rsidRPr="008011E9">
        <w:rPr>
          <w:rStyle w:val="FootnoteReference"/>
          <w:rFonts w:asciiTheme="majorHAnsi" w:hAnsiTheme="majorHAnsi"/>
          <w:sz w:val="22"/>
          <w:szCs w:val="22"/>
        </w:rPr>
        <w:footnoteRef/>
      </w:r>
      <w:r w:rsidRPr="008011E9">
        <w:rPr>
          <w:rFonts w:asciiTheme="majorHAnsi" w:hAnsiTheme="majorHAnsi"/>
          <w:sz w:val="22"/>
          <w:szCs w:val="22"/>
        </w:rPr>
        <w:t xml:space="preserve"> http://www2.publicationsduquebec.gouv.qc.ca/dynamicSearch/telecharge.php</w:t>
      </w:r>
      <w:proofErr w:type="gramStart"/>
      <w:r w:rsidRPr="008011E9">
        <w:rPr>
          <w:rFonts w:asciiTheme="majorHAnsi" w:hAnsiTheme="majorHAnsi"/>
          <w:sz w:val="22"/>
          <w:szCs w:val="22"/>
        </w:rPr>
        <w:t>?type</w:t>
      </w:r>
      <w:proofErr w:type="gramEnd"/>
      <w:r w:rsidRPr="008011E9">
        <w:rPr>
          <w:rFonts w:asciiTheme="majorHAnsi" w:hAnsiTheme="majorHAnsi"/>
          <w:sz w:val="22"/>
          <w:szCs w:val="22"/>
        </w:rPr>
        <w:t>=2&amp;file=/Q_2/Q2_A.htm</w:t>
      </w:r>
    </w:p>
  </w:footnote>
  <w:footnote w:id="8">
    <w:p w14:paraId="6CAF4938" w14:textId="77777777" w:rsidR="00765C34" w:rsidRPr="008011E9" w:rsidRDefault="00765C34" w:rsidP="00304272">
      <w:pPr>
        <w:pStyle w:val="FootnoteText"/>
        <w:rPr>
          <w:rFonts w:asciiTheme="majorHAnsi" w:hAnsiTheme="majorHAnsi" w:cs="Verdana"/>
          <w:sz w:val="22"/>
          <w:szCs w:val="22"/>
        </w:rPr>
      </w:pPr>
      <w:r w:rsidRPr="008011E9">
        <w:rPr>
          <w:rStyle w:val="FootnoteReference"/>
          <w:rFonts w:asciiTheme="majorHAnsi" w:hAnsiTheme="majorHAnsi"/>
          <w:sz w:val="22"/>
          <w:szCs w:val="22"/>
        </w:rPr>
        <w:footnoteRef/>
      </w:r>
      <w:r w:rsidRPr="008011E9">
        <w:rPr>
          <w:rFonts w:asciiTheme="majorHAnsi" w:hAnsiTheme="majorHAnsi"/>
          <w:sz w:val="22"/>
          <w:szCs w:val="22"/>
        </w:rPr>
        <w:t xml:space="preserve"> “</w:t>
      </w:r>
      <w:r w:rsidRPr="008011E9">
        <w:rPr>
          <w:rFonts w:asciiTheme="majorHAnsi" w:hAnsiTheme="majorHAnsi" w:cs="Verdana"/>
          <w:sz w:val="22"/>
          <w:szCs w:val="22"/>
        </w:rPr>
        <w:t xml:space="preserve">Provided, however, that Her Majesty reserves the right to deal with any settlers within the bounds of any lands reserved for any band as She may see fit; and also that the aforesaid reserves of land, or any interest therein, may be sold or otherwise disposed of by Her Majesty's Government for the use and benefit of the said Indians entitled thereto, with their consent first had and obtained.”  </w:t>
      </w:r>
    </w:p>
    <w:p w14:paraId="1B98E820" w14:textId="77777777" w:rsidR="00765C34" w:rsidRPr="008011E9" w:rsidRDefault="00765C34" w:rsidP="00304272">
      <w:pPr>
        <w:pStyle w:val="FootnoteText"/>
        <w:rPr>
          <w:rFonts w:asciiTheme="majorHAnsi" w:hAnsiTheme="majorHAnsi"/>
          <w:sz w:val="22"/>
          <w:szCs w:val="22"/>
        </w:rPr>
      </w:pPr>
      <w:r w:rsidRPr="008011E9">
        <w:rPr>
          <w:rFonts w:asciiTheme="majorHAnsi" w:hAnsiTheme="majorHAnsi" w:cs="Verdana"/>
          <w:sz w:val="22"/>
          <w:szCs w:val="22"/>
        </w:rPr>
        <w:t>“It is further agreed between Her Majesty and Her said Indian subjects that such portions of the reserves and lands above indicated as may at any time be required for public works, buildings, railways, or roads of whatsoever nature may be appropriated for that purpose by Her Majesty's Government of the Dominion of Canada, due compensation being made to the Indians for the value of any improvements thereon, and an equivalent in land, money or other consideration for the area of the reserve so appropriated.” http://www.aadnc-aandc.gc.ca/eng/1100100028813/1100100028853</w:t>
      </w:r>
    </w:p>
  </w:footnote>
  <w:footnote w:id="9">
    <w:p w14:paraId="540DD3FD" w14:textId="77777777" w:rsidR="00765C34" w:rsidRDefault="00765C34" w:rsidP="00304272">
      <w:pPr>
        <w:pStyle w:val="FootnoteText"/>
      </w:pPr>
      <w:r w:rsidRPr="008011E9">
        <w:rPr>
          <w:rStyle w:val="FootnoteReference"/>
          <w:rFonts w:asciiTheme="majorHAnsi" w:hAnsiTheme="majorHAnsi"/>
          <w:sz w:val="22"/>
          <w:szCs w:val="22"/>
        </w:rPr>
        <w:footnoteRef/>
      </w:r>
      <w:r w:rsidRPr="008011E9">
        <w:rPr>
          <w:rFonts w:asciiTheme="majorHAnsi" w:hAnsiTheme="majorHAnsi"/>
          <w:sz w:val="22"/>
          <w:szCs w:val="22"/>
        </w:rPr>
        <w:t xml:space="preserve"> http://www.aenweb.ca/node/2131</w:t>
      </w:r>
    </w:p>
  </w:footnote>
  <w:footnote w:id="10">
    <w:p w14:paraId="318A6BE0" w14:textId="77777777" w:rsidR="00765C34" w:rsidRDefault="00765C34" w:rsidP="00304272">
      <w:pPr>
        <w:pStyle w:val="FootnoteText"/>
      </w:pPr>
      <w:r>
        <w:rPr>
          <w:rStyle w:val="FootnoteReference"/>
        </w:rPr>
        <w:footnoteRef/>
      </w:r>
      <w:r>
        <w:t xml:space="preserve"> </w:t>
      </w:r>
      <w:r w:rsidRPr="00D310E8">
        <w:rPr>
          <w:rFonts w:asciiTheme="majorHAnsi" w:hAnsiTheme="majorHAnsi"/>
          <w:sz w:val="22"/>
          <w:szCs w:val="22"/>
        </w:rPr>
        <w:t>“</w:t>
      </w:r>
      <w:r w:rsidRPr="00D310E8">
        <w:rPr>
          <w:rFonts w:asciiTheme="majorHAnsi" w:hAnsiTheme="majorHAnsi" w:cs="Verdana"/>
          <w:sz w:val="22"/>
          <w:szCs w:val="22"/>
        </w:rPr>
        <w:t>Her Majesty further agrees with Her said Indians that they, the said Indians, shall have right to pursue their avocations of hunting and fishing throughout the tract surrendered as hereinbefore described, subject to such regulations as may from time to time be made by Her Government of Her Dominion of Canada, and saving and excepting such tracts as may from time to time be required or taken up for settlement, mining, lumbering or other purposes by Her said Government of the Dominion of Canada, or by any of the subjects thereof duly authorized therefor by the said Government.”</w:t>
      </w:r>
      <w:r>
        <w:rPr>
          <w:rFonts w:asciiTheme="majorHAnsi" w:hAnsiTheme="majorHAnsi" w:cs="Verdana"/>
          <w:sz w:val="22"/>
          <w:szCs w:val="22"/>
        </w:rPr>
        <w:t xml:space="preserve"> </w:t>
      </w:r>
      <w:r w:rsidRPr="00D310E8">
        <w:rPr>
          <w:rFonts w:asciiTheme="majorHAnsi" w:hAnsiTheme="majorHAnsi" w:cs="Verdana"/>
          <w:sz w:val="22"/>
          <w:szCs w:val="22"/>
        </w:rPr>
        <w:t>http://www.aadnc-aandc.gc.ca/eng/1100100028710/1100100028783</w:t>
      </w:r>
    </w:p>
  </w:footnote>
  <w:footnote w:id="11">
    <w:p w14:paraId="2659377C" w14:textId="77777777" w:rsidR="00765C34" w:rsidRDefault="00765C34" w:rsidP="00304272">
      <w:pPr>
        <w:pStyle w:val="FootnoteText"/>
      </w:pPr>
      <w:r>
        <w:rPr>
          <w:rStyle w:val="FootnoteReference"/>
        </w:rPr>
        <w:footnoteRef/>
      </w:r>
      <w:r>
        <w:t xml:space="preserve"> </w:t>
      </w:r>
      <w:r w:rsidRPr="00D310E8">
        <w:rPr>
          <w:rFonts w:asciiTheme="majorHAnsi" w:hAnsiTheme="majorHAnsi"/>
          <w:sz w:val="22"/>
          <w:szCs w:val="22"/>
        </w:rPr>
        <w:t>“</w:t>
      </w:r>
      <w:r w:rsidRPr="00D310E8">
        <w:rPr>
          <w:rFonts w:asciiTheme="majorHAnsi" w:hAnsiTheme="majorHAnsi" w:cs="Verdana"/>
          <w:sz w:val="22"/>
          <w:szCs w:val="22"/>
        </w:rPr>
        <w:t>And Her Majesty the Queen hereby agrees with her said Indians, that they shall have right to pursue their vocations of hunting throughout the Tract surrendered as heretofore described, subject to such regulations as may, from time to time, be made by the Government of the country, acting under the authority of Her Majesty and saving and excepting such Tracts as may be required or taken up from time to time for settlement, mining, trading or other purposes by Her Government of Canada; or by any of Her Majesty's subjects duly authorized therefor by the said Government.”</w:t>
      </w:r>
      <w:r>
        <w:rPr>
          <w:rFonts w:asciiTheme="majorHAnsi" w:hAnsiTheme="majorHAnsi" w:cs="Verdana"/>
          <w:sz w:val="22"/>
          <w:szCs w:val="22"/>
        </w:rPr>
        <w:t xml:space="preserve"> </w:t>
      </w:r>
      <w:r w:rsidRPr="00D310E8">
        <w:rPr>
          <w:rFonts w:asciiTheme="majorHAnsi" w:hAnsiTheme="majorHAnsi" w:cs="Verdana"/>
          <w:sz w:val="22"/>
          <w:szCs w:val="22"/>
        </w:rPr>
        <w:t>http://www.aadnc-aandc.gc.ca/eng/1100100028793/1100100028803</w:t>
      </w:r>
    </w:p>
  </w:footnote>
  <w:footnote w:id="12">
    <w:p w14:paraId="47B251FC" w14:textId="77777777" w:rsidR="00765C34" w:rsidRDefault="00765C34" w:rsidP="00304272">
      <w:pPr>
        <w:pStyle w:val="FootnoteText"/>
      </w:pPr>
      <w:r>
        <w:rPr>
          <w:rStyle w:val="FootnoteReference"/>
        </w:rPr>
        <w:footnoteRef/>
      </w:r>
      <w:r w:rsidRPr="006028BB">
        <w:rPr>
          <w:rFonts w:asciiTheme="majorHAnsi" w:hAnsiTheme="majorHAnsi"/>
          <w:sz w:val="22"/>
          <w:szCs w:val="22"/>
        </w:rPr>
        <w:t xml:space="preserve"> “</w:t>
      </w:r>
      <w:r w:rsidRPr="006028BB">
        <w:rPr>
          <w:rFonts w:asciiTheme="majorHAnsi" w:hAnsiTheme="majorHAnsi" w:cs="Verdana"/>
          <w:sz w:val="22"/>
          <w:szCs w:val="22"/>
        </w:rPr>
        <w:t>And Her Majesty the Queen HEREBY AGREES with the said Indians that they shall have right to pursue their usual vocations of hunting, trapping and fishing throughout the tract surrendered as heretofore described, subject to such regulations as may from time to time be made by the Government of the country, acting under the authority of Her Majesty, and saving and excepting such tracts as may be required or taken up from time to time for settlement, mining, lumbering, trading or other purposes.”</w:t>
      </w:r>
      <w:r>
        <w:rPr>
          <w:rFonts w:asciiTheme="majorHAnsi" w:hAnsiTheme="majorHAnsi" w:cs="Verdana"/>
          <w:sz w:val="22"/>
          <w:szCs w:val="22"/>
        </w:rPr>
        <w:t xml:space="preserve"> </w:t>
      </w:r>
      <w:r w:rsidRPr="006028BB">
        <w:rPr>
          <w:rFonts w:asciiTheme="majorHAnsi" w:hAnsiTheme="majorHAnsi" w:cs="Verdana"/>
          <w:sz w:val="22"/>
          <w:szCs w:val="22"/>
        </w:rPr>
        <w:t>http://www.aadnc-aandc.gc.ca/eng/1100100028813/1100100028853</w:t>
      </w:r>
    </w:p>
  </w:footnote>
  <w:footnote w:id="13">
    <w:p w14:paraId="46B838FE" w14:textId="77777777" w:rsidR="00765C34" w:rsidRPr="00B056CC" w:rsidRDefault="00765C34">
      <w:pPr>
        <w:pStyle w:val="FootnoteText"/>
        <w:rPr>
          <w:rFonts w:asciiTheme="majorHAnsi" w:hAnsiTheme="majorHAnsi"/>
          <w:sz w:val="22"/>
          <w:szCs w:val="22"/>
        </w:rPr>
      </w:pPr>
      <w:r w:rsidRPr="008011E9">
        <w:rPr>
          <w:rStyle w:val="FootnoteReference"/>
          <w:rFonts w:asciiTheme="majorHAnsi" w:hAnsiTheme="majorHAnsi"/>
          <w:sz w:val="22"/>
          <w:szCs w:val="22"/>
        </w:rPr>
        <w:footnoteRef/>
      </w:r>
      <w:r w:rsidRPr="008011E9">
        <w:rPr>
          <w:rFonts w:asciiTheme="majorHAnsi" w:hAnsiTheme="majorHAnsi"/>
          <w:sz w:val="22"/>
          <w:szCs w:val="22"/>
        </w:rPr>
        <w:t xml:space="preserve"> http://www.un.org/en/documents/udhr/index.shtml#a7</w:t>
      </w:r>
    </w:p>
  </w:footnote>
  <w:footnote w:id="14">
    <w:p w14:paraId="246F35FA" w14:textId="31BFEA5A" w:rsidR="00765C34" w:rsidRPr="008011E9" w:rsidRDefault="00765C34" w:rsidP="00E04D10">
      <w:pPr>
        <w:widowControl w:val="0"/>
        <w:autoSpaceDE w:val="0"/>
        <w:autoSpaceDN w:val="0"/>
        <w:adjustRightInd w:val="0"/>
        <w:spacing w:line="320" w:lineRule="atLeast"/>
        <w:rPr>
          <w:rFonts w:asciiTheme="majorHAnsi" w:hAnsiTheme="majorHAnsi" w:cs="Arial"/>
          <w:bCs/>
          <w:sz w:val="22"/>
          <w:szCs w:val="22"/>
        </w:rPr>
      </w:pPr>
      <w:r w:rsidRPr="008011E9">
        <w:rPr>
          <w:rStyle w:val="FootnoteReference"/>
          <w:rFonts w:asciiTheme="majorHAnsi" w:hAnsiTheme="majorHAnsi"/>
          <w:sz w:val="22"/>
          <w:szCs w:val="22"/>
        </w:rPr>
        <w:footnoteRef/>
      </w:r>
      <w:r w:rsidRPr="008011E9">
        <w:rPr>
          <w:rFonts w:asciiTheme="majorHAnsi" w:hAnsiTheme="majorHAnsi"/>
          <w:sz w:val="22"/>
          <w:szCs w:val="22"/>
        </w:rPr>
        <w:t xml:space="preserve"> “</w:t>
      </w:r>
      <w:r w:rsidRPr="008011E9">
        <w:rPr>
          <w:rFonts w:asciiTheme="majorHAnsi" w:hAnsiTheme="majorHAnsi" w:cs="Arial"/>
          <w:bCs/>
          <w:sz w:val="22"/>
          <w:szCs w:val="22"/>
        </w:rPr>
        <w:t>Hague Declaration on the Environment.”</w:t>
      </w:r>
    </w:p>
    <w:p w14:paraId="59767928" w14:textId="7BEE522D" w:rsidR="00765C34" w:rsidRPr="008011E9" w:rsidRDefault="00765C34" w:rsidP="00E04D10">
      <w:pPr>
        <w:pStyle w:val="FootnoteText"/>
        <w:rPr>
          <w:rFonts w:asciiTheme="majorHAnsi" w:hAnsiTheme="majorHAnsi"/>
          <w:sz w:val="22"/>
          <w:szCs w:val="22"/>
        </w:rPr>
      </w:pPr>
      <w:r w:rsidRPr="008011E9">
        <w:rPr>
          <w:rFonts w:asciiTheme="majorHAnsi" w:hAnsiTheme="majorHAnsi" w:cs="Arial"/>
          <w:i/>
          <w:iCs/>
          <w:sz w:val="22"/>
          <w:szCs w:val="22"/>
        </w:rPr>
        <w:t>International Legal Materials</w:t>
      </w:r>
      <w:r w:rsidRPr="008011E9">
        <w:rPr>
          <w:rFonts w:asciiTheme="majorHAnsi" w:hAnsiTheme="majorHAnsi" w:cs="Arial"/>
          <w:sz w:val="22"/>
          <w:szCs w:val="22"/>
        </w:rPr>
        <w:t>, Vol. 28, No. 5 (SEPTEMBER 1989), pp. 1308-1310.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C4362"/>
    <w:multiLevelType w:val="multilevel"/>
    <w:tmpl w:val="821C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646458"/>
    <w:multiLevelType w:val="hybridMultilevel"/>
    <w:tmpl w:val="8A124182"/>
    <w:lvl w:ilvl="0" w:tplc="AB623B4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1FC115E"/>
    <w:multiLevelType w:val="hybridMultilevel"/>
    <w:tmpl w:val="C3B6B536"/>
    <w:lvl w:ilvl="0" w:tplc="E5081526">
      <w:start w:val="1"/>
      <w:numFmt w:val="decimal"/>
      <w:lvlText w:val="%1."/>
      <w:lvlJc w:val="left"/>
      <w:pPr>
        <w:ind w:left="1800" w:hanging="360"/>
      </w:pPr>
      <w:rPr>
        <w:rFonts w:cs="Times New Roman"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E16"/>
    <w:rsid w:val="00002AD0"/>
    <w:rsid w:val="000278C3"/>
    <w:rsid w:val="00035D65"/>
    <w:rsid w:val="000C207D"/>
    <w:rsid w:val="00102A69"/>
    <w:rsid w:val="00163899"/>
    <w:rsid w:val="00167128"/>
    <w:rsid w:val="00190A8A"/>
    <w:rsid w:val="001C67D4"/>
    <w:rsid w:val="001D6B52"/>
    <w:rsid w:val="00200042"/>
    <w:rsid w:val="002035BC"/>
    <w:rsid w:val="00265290"/>
    <w:rsid w:val="00304272"/>
    <w:rsid w:val="003650A8"/>
    <w:rsid w:val="003C0EE7"/>
    <w:rsid w:val="00412C93"/>
    <w:rsid w:val="004443E8"/>
    <w:rsid w:val="00461792"/>
    <w:rsid w:val="00463EA4"/>
    <w:rsid w:val="00472179"/>
    <w:rsid w:val="004941DA"/>
    <w:rsid w:val="00522E97"/>
    <w:rsid w:val="00550E16"/>
    <w:rsid w:val="00595CC2"/>
    <w:rsid w:val="005C6F50"/>
    <w:rsid w:val="006028BB"/>
    <w:rsid w:val="00644CE7"/>
    <w:rsid w:val="00671E07"/>
    <w:rsid w:val="006802CD"/>
    <w:rsid w:val="0075758C"/>
    <w:rsid w:val="00765C34"/>
    <w:rsid w:val="008011E9"/>
    <w:rsid w:val="00801A10"/>
    <w:rsid w:val="00817400"/>
    <w:rsid w:val="00A613F9"/>
    <w:rsid w:val="00B056CC"/>
    <w:rsid w:val="00B10C29"/>
    <w:rsid w:val="00B51054"/>
    <w:rsid w:val="00BE11F1"/>
    <w:rsid w:val="00BE2D37"/>
    <w:rsid w:val="00BF2897"/>
    <w:rsid w:val="00C26C6F"/>
    <w:rsid w:val="00C26D4C"/>
    <w:rsid w:val="00C70BAD"/>
    <w:rsid w:val="00D12ACB"/>
    <w:rsid w:val="00D310E8"/>
    <w:rsid w:val="00E042BC"/>
    <w:rsid w:val="00E04D10"/>
    <w:rsid w:val="00E40D25"/>
    <w:rsid w:val="00EE11FD"/>
    <w:rsid w:val="00EE77E4"/>
    <w:rsid w:val="00F11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E91F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E11FD"/>
  </w:style>
  <w:style w:type="character" w:customStyle="1" w:styleId="FootnoteTextChar">
    <w:name w:val="Footnote Text Char"/>
    <w:basedOn w:val="DefaultParagraphFont"/>
    <w:link w:val="FootnoteText"/>
    <w:uiPriority w:val="99"/>
    <w:rsid w:val="00EE11FD"/>
  </w:style>
  <w:style w:type="character" w:styleId="FootnoteReference">
    <w:name w:val="footnote reference"/>
    <w:basedOn w:val="DefaultParagraphFont"/>
    <w:uiPriority w:val="99"/>
    <w:unhideWhenUsed/>
    <w:rsid w:val="00EE11FD"/>
    <w:rPr>
      <w:vertAlign w:val="superscript"/>
    </w:rPr>
  </w:style>
  <w:style w:type="paragraph" w:customStyle="1" w:styleId="preamble-e">
    <w:name w:val="preamble-e"/>
    <w:rsid w:val="00522E97"/>
    <w:pPr>
      <w:tabs>
        <w:tab w:val="left" w:pos="189"/>
      </w:tabs>
      <w:spacing w:before="111" w:line="209" w:lineRule="exact"/>
      <w:jc w:val="both"/>
    </w:pPr>
    <w:rPr>
      <w:rFonts w:ascii="Times New Roman" w:eastAsia="Times New Roman" w:hAnsi="Times New Roman" w:cs="Times New Roman"/>
      <w:snapToGrid w:val="0"/>
      <w:sz w:val="20"/>
      <w:szCs w:val="20"/>
      <w:lang w:val="en-GB"/>
    </w:rPr>
  </w:style>
  <w:style w:type="character" w:styleId="Hyperlink">
    <w:name w:val="Hyperlink"/>
    <w:basedOn w:val="DefaultParagraphFont"/>
    <w:rsid w:val="00522E97"/>
    <w:rPr>
      <w:strike w:val="0"/>
      <w:dstrike w:val="0"/>
      <w:color w:val="auto"/>
      <w:u w:val="none"/>
      <w:effect w:val="none"/>
    </w:rPr>
  </w:style>
  <w:style w:type="paragraph" w:customStyle="1" w:styleId="section-e">
    <w:name w:val="section-e"/>
    <w:rsid w:val="00522E97"/>
    <w:pPr>
      <w:tabs>
        <w:tab w:val="left" w:pos="0"/>
        <w:tab w:val="left" w:pos="189"/>
      </w:tabs>
      <w:spacing w:before="100" w:line="209" w:lineRule="exact"/>
      <w:jc w:val="both"/>
    </w:pPr>
    <w:rPr>
      <w:rFonts w:ascii="Times New Roman" w:eastAsia="Times New Roman" w:hAnsi="Times New Roman" w:cs="Times New Roman"/>
      <w:snapToGrid w:val="0"/>
      <w:sz w:val="20"/>
      <w:szCs w:val="20"/>
      <w:lang w:val="en-GB"/>
    </w:rPr>
  </w:style>
  <w:style w:type="paragraph" w:customStyle="1" w:styleId="clause-e">
    <w:name w:val="clause-e"/>
    <w:rsid w:val="00522E97"/>
    <w:pPr>
      <w:tabs>
        <w:tab w:val="right" w:pos="418"/>
        <w:tab w:val="left" w:pos="538"/>
      </w:tabs>
      <w:spacing w:before="111" w:line="209" w:lineRule="exact"/>
      <w:ind w:left="538" w:hanging="538"/>
      <w:jc w:val="both"/>
    </w:pPr>
    <w:rPr>
      <w:rFonts w:ascii="Times New Roman" w:eastAsia="Times New Roman" w:hAnsi="Times New Roman" w:cs="Times New Roman"/>
      <w:snapToGrid w:val="0"/>
      <w:sz w:val="20"/>
      <w:szCs w:val="20"/>
      <w:lang w:val="en-GB"/>
    </w:rPr>
  </w:style>
  <w:style w:type="paragraph" w:customStyle="1" w:styleId="paragraph-e">
    <w:name w:val="paragraph-e"/>
    <w:rsid w:val="00522E97"/>
    <w:pPr>
      <w:tabs>
        <w:tab w:val="right" w:pos="418"/>
        <w:tab w:val="left" w:pos="538"/>
      </w:tabs>
      <w:spacing w:before="111" w:line="209" w:lineRule="exact"/>
      <w:ind w:left="538" w:hanging="538"/>
      <w:jc w:val="both"/>
    </w:pPr>
    <w:rPr>
      <w:rFonts w:ascii="Times New Roman" w:eastAsia="Times New Roman" w:hAnsi="Times New Roman" w:cs="Times New Roman"/>
      <w:snapToGrid w:val="0"/>
      <w:sz w:val="20"/>
      <w:szCs w:val="20"/>
      <w:lang w:val="en-GB"/>
    </w:rPr>
  </w:style>
  <w:style w:type="paragraph" w:customStyle="1" w:styleId="headnote-e">
    <w:name w:val="headnote-e"/>
    <w:basedOn w:val="Normal"/>
    <w:rsid w:val="00522E97"/>
    <w:pPr>
      <w:keepLines/>
      <w:tabs>
        <w:tab w:val="left" w:pos="0"/>
      </w:tabs>
      <w:suppressAutoHyphens/>
      <w:spacing w:before="120" w:line="180" w:lineRule="exact"/>
    </w:pPr>
    <w:rPr>
      <w:rFonts w:ascii="Times New Roman" w:eastAsia="Times New Roman" w:hAnsi="Times New Roman" w:cs="Times New Roman"/>
      <w:b/>
      <w:snapToGrid w:val="0"/>
      <w:sz w:val="16"/>
      <w:szCs w:val="20"/>
      <w:lang w:val="en-GB"/>
    </w:rPr>
  </w:style>
  <w:style w:type="paragraph" w:customStyle="1" w:styleId="subsection-e">
    <w:name w:val="subsection-e"/>
    <w:basedOn w:val="section-e"/>
    <w:rsid w:val="00522E97"/>
  </w:style>
  <w:style w:type="character" w:styleId="FollowedHyperlink">
    <w:name w:val="FollowedHyperlink"/>
    <w:basedOn w:val="DefaultParagraphFont"/>
    <w:uiPriority w:val="99"/>
    <w:semiHidden/>
    <w:unhideWhenUsed/>
    <w:rsid w:val="003C0EE7"/>
    <w:rPr>
      <w:color w:val="800080" w:themeColor="followedHyperlink"/>
      <w:u w:val="single"/>
    </w:rPr>
  </w:style>
  <w:style w:type="paragraph" w:styleId="ListParagraph">
    <w:name w:val="List Paragraph"/>
    <w:basedOn w:val="Normal"/>
    <w:uiPriority w:val="34"/>
    <w:qFormat/>
    <w:rsid w:val="003C0EE7"/>
    <w:pPr>
      <w:ind w:left="720"/>
      <w:contextualSpacing/>
    </w:pPr>
  </w:style>
  <w:style w:type="paragraph" w:styleId="NormalWeb">
    <w:name w:val="Normal (Web)"/>
    <w:basedOn w:val="Normal"/>
    <w:uiPriority w:val="99"/>
    <w:semiHidden/>
    <w:unhideWhenUsed/>
    <w:rsid w:val="000C207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72179"/>
  </w:style>
  <w:style w:type="character" w:styleId="CommentReference">
    <w:name w:val="annotation reference"/>
    <w:basedOn w:val="DefaultParagraphFont"/>
    <w:uiPriority w:val="99"/>
    <w:semiHidden/>
    <w:unhideWhenUsed/>
    <w:rsid w:val="003650A8"/>
    <w:rPr>
      <w:sz w:val="18"/>
      <w:szCs w:val="18"/>
    </w:rPr>
  </w:style>
  <w:style w:type="paragraph" w:styleId="CommentText">
    <w:name w:val="annotation text"/>
    <w:basedOn w:val="Normal"/>
    <w:link w:val="CommentTextChar"/>
    <w:uiPriority w:val="99"/>
    <w:semiHidden/>
    <w:unhideWhenUsed/>
    <w:rsid w:val="003650A8"/>
  </w:style>
  <w:style w:type="character" w:customStyle="1" w:styleId="CommentTextChar">
    <w:name w:val="Comment Text Char"/>
    <w:basedOn w:val="DefaultParagraphFont"/>
    <w:link w:val="CommentText"/>
    <w:uiPriority w:val="99"/>
    <w:semiHidden/>
    <w:rsid w:val="003650A8"/>
  </w:style>
  <w:style w:type="paragraph" w:styleId="CommentSubject">
    <w:name w:val="annotation subject"/>
    <w:basedOn w:val="CommentText"/>
    <w:next w:val="CommentText"/>
    <w:link w:val="CommentSubjectChar"/>
    <w:uiPriority w:val="99"/>
    <w:semiHidden/>
    <w:unhideWhenUsed/>
    <w:rsid w:val="003650A8"/>
    <w:rPr>
      <w:b/>
      <w:bCs/>
      <w:sz w:val="20"/>
      <w:szCs w:val="20"/>
    </w:rPr>
  </w:style>
  <w:style w:type="character" w:customStyle="1" w:styleId="CommentSubjectChar">
    <w:name w:val="Comment Subject Char"/>
    <w:basedOn w:val="CommentTextChar"/>
    <w:link w:val="CommentSubject"/>
    <w:uiPriority w:val="99"/>
    <w:semiHidden/>
    <w:rsid w:val="003650A8"/>
    <w:rPr>
      <w:b/>
      <w:bCs/>
      <w:sz w:val="20"/>
      <w:szCs w:val="20"/>
    </w:rPr>
  </w:style>
  <w:style w:type="paragraph" w:styleId="BalloonText">
    <w:name w:val="Balloon Text"/>
    <w:basedOn w:val="Normal"/>
    <w:link w:val="BalloonTextChar"/>
    <w:uiPriority w:val="99"/>
    <w:semiHidden/>
    <w:unhideWhenUsed/>
    <w:rsid w:val="003650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0A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E11FD"/>
  </w:style>
  <w:style w:type="character" w:customStyle="1" w:styleId="FootnoteTextChar">
    <w:name w:val="Footnote Text Char"/>
    <w:basedOn w:val="DefaultParagraphFont"/>
    <w:link w:val="FootnoteText"/>
    <w:uiPriority w:val="99"/>
    <w:rsid w:val="00EE11FD"/>
  </w:style>
  <w:style w:type="character" w:styleId="FootnoteReference">
    <w:name w:val="footnote reference"/>
    <w:basedOn w:val="DefaultParagraphFont"/>
    <w:uiPriority w:val="99"/>
    <w:unhideWhenUsed/>
    <w:rsid w:val="00EE11FD"/>
    <w:rPr>
      <w:vertAlign w:val="superscript"/>
    </w:rPr>
  </w:style>
  <w:style w:type="paragraph" w:customStyle="1" w:styleId="preamble-e">
    <w:name w:val="preamble-e"/>
    <w:rsid w:val="00522E97"/>
    <w:pPr>
      <w:tabs>
        <w:tab w:val="left" w:pos="189"/>
      </w:tabs>
      <w:spacing w:before="111" w:line="209" w:lineRule="exact"/>
      <w:jc w:val="both"/>
    </w:pPr>
    <w:rPr>
      <w:rFonts w:ascii="Times New Roman" w:eastAsia="Times New Roman" w:hAnsi="Times New Roman" w:cs="Times New Roman"/>
      <w:snapToGrid w:val="0"/>
      <w:sz w:val="20"/>
      <w:szCs w:val="20"/>
      <w:lang w:val="en-GB"/>
    </w:rPr>
  </w:style>
  <w:style w:type="character" w:styleId="Hyperlink">
    <w:name w:val="Hyperlink"/>
    <w:basedOn w:val="DefaultParagraphFont"/>
    <w:rsid w:val="00522E97"/>
    <w:rPr>
      <w:strike w:val="0"/>
      <w:dstrike w:val="0"/>
      <w:color w:val="auto"/>
      <w:u w:val="none"/>
      <w:effect w:val="none"/>
    </w:rPr>
  </w:style>
  <w:style w:type="paragraph" w:customStyle="1" w:styleId="section-e">
    <w:name w:val="section-e"/>
    <w:rsid w:val="00522E97"/>
    <w:pPr>
      <w:tabs>
        <w:tab w:val="left" w:pos="0"/>
        <w:tab w:val="left" w:pos="189"/>
      </w:tabs>
      <w:spacing w:before="100" w:line="209" w:lineRule="exact"/>
      <w:jc w:val="both"/>
    </w:pPr>
    <w:rPr>
      <w:rFonts w:ascii="Times New Roman" w:eastAsia="Times New Roman" w:hAnsi="Times New Roman" w:cs="Times New Roman"/>
      <w:snapToGrid w:val="0"/>
      <w:sz w:val="20"/>
      <w:szCs w:val="20"/>
      <w:lang w:val="en-GB"/>
    </w:rPr>
  </w:style>
  <w:style w:type="paragraph" w:customStyle="1" w:styleId="clause-e">
    <w:name w:val="clause-e"/>
    <w:rsid w:val="00522E97"/>
    <w:pPr>
      <w:tabs>
        <w:tab w:val="right" w:pos="418"/>
        <w:tab w:val="left" w:pos="538"/>
      </w:tabs>
      <w:spacing w:before="111" w:line="209" w:lineRule="exact"/>
      <w:ind w:left="538" w:hanging="538"/>
      <w:jc w:val="both"/>
    </w:pPr>
    <w:rPr>
      <w:rFonts w:ascii="Times New Roman" w:eastAsia="Times New Roman" w:hAnsi="Times New Roman" w:cs="Times New Roman"/>
      <w:snapToGrid w:val="0"/>
      <w:sz w:val="20"/>
      <w:szCs w:val="20"/>
      <w:lang w:val="en-GB"/>
    </w:rPr>
  </w:style>
  <w:style w:type="paragraph" w:customStyle="1" w:styleId="paragraph-e">
    <w:name w:val="paragraph-e"/>
    <w:rsid w:val="00522E97"/>
    <w:pPr>
      <w:tabs>
        <w:tab w:val="right" w:pos="418"/>
        <w:tab w:val="left" w:pos="538"/>
      </w:tabs>
      <w:spacing w:before="111" w:line="209" w:lineRule="exact"/>
      <w:ind w:left="538" w:hanging="538"/>
      <w:jc w:val="both"/>
    </w:pPr>
    <w:rPr>
      <w:rFonts w:ascii="Times New Roman" w:eastAsia="Times New Roman" w:hAnsi="Times New Roman" w:cs="Times New Roman"/>
      <w:snapToGrid w:val="0"/>
      <w:sz w:val="20"/>
      <w:szCs w:val="20"/>
      <w:lang w:val="en-GB"/>
    </w:rPr>
  </w:style>
  <w:style w:type="paragraph" w:customStyle="1" w:styleId="headnote-e">
    <w:name w:val="headnote-e"/>
    <w:basedOn w:val="Normal"/>
    <w:rsid w:val="00522E97"/>
    <w:pPr>
      <w:keepLines/>
      <w:tabs>
        <w:tab w:val="left" w:pos="0"/>
      </w:tabs>
      <w:suppressAutoHyphens/>
      <w:spacing w:before="120" w:line="180" w:lineRule="exact"/>
    </w:pPr>
    <w:rPr>
      <w:rFonts w:ascii="Times New Roman" w:eastAsia="Times New Roman" w:hAnsi="Times New Roman" w:cs="Times New Roman"/>
      <w:b/>
      <w:snapToGrid w:val="0"/>
      <w:sz w:val="16"/>
      <w:szCs w:val="20"/>
      <w:lang w:val="en-GB"/>
    </w:rPr>
  </w:style>
  <w:style w:type="paragraph" w:customStyle="1" w:styleId="subsection-e">
    <w:name w:val="subsection-e"/>
    <w:basedOn w:val="section-e"/>
    <w:rsid w:val="00522E97"/>
  </w:style>
  <w:style w:type="character" w:styleId="FollowedHyperlink">
    <w:name w:val="FollowedHyperlink"/>
    <w:basedOn w:val="DefaultParagraphFont"/>
    <w:uiPriority w:val="99"/>
    <w:semiHidden/>
    <w:unhideWhenUsed/>
    <w:rsid w:val="003C0EE7"/>
    <w:rPr>
      <w:color w:val="800080" w:themeColor="followedHyperlink"/>
      <w:u w:val="single"/>
    </w:rPr>
  </w:style>
  <w:style w:type="paragraph" w:styleId="ListParagraph">
    <w:name w:val="List Paragraph"/>
    <w:basedOn w:val="Normal"/>
    <w:uiPriority w:val="34"/>
    <w:qFormat/>
    <w:rsid w:val="003C0EE7"/>
    <w:pPr>
      <w:ind w:left="720"/>
      <w:contextualSpacing/>
    </w:pPr>
  </w:style>
  <w:style w:type="paragraph" w:styleId="NormalWeb">
    <w:name w:val="Normal (Web)"/>
    <w:basedOn w:val="Normal"/>
    <w:uiPriority w:val="99"/>
    <w:semiHidden/>
    <w:unhideWhenUsed/>
    <w:rsid w:val="000C207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72179"/>
  </w:style>
  <w:style w:type="character" w:styleId="CommentReference">
    <w:name w:val="annotation reference"/>
    <w:basedOn w:val="DefaultParagraphFont"/>
    <w:uiPriority w:val="99"/>
    <w:semiHidden/>
    <w:unhideWhenUsed/>
    <w:rsid w:val="003650A8"/>
    <w:rPr>
      <w:sz w:val="18"/>
      <w:szCs w:val="18"/>
    </w:rPr>
  </w:style>
  <w:style w:type="paragraph" w:styleId="CommentText">
    <w:name w:val="annotation text"/>
    <w:basedOn w:val="Normal"/>
    <w:link w:val="CommentTextChar"/>
    <w:uiPriority w:val="99"/>
    <w:semiHidden/>
    <w:unhideWhenUsed/>
    <w:rsid w:val="003650A8"/>
  </w:style>
  <w:style w:type="character" w:customStyle="1" w:styleId="CommentTextChar">
    <w:name w:val="Comment Text Char"/>
    <w:basedOn w:val="DefaultParagraphFont"/>
    <w:link w:val="CommentText"/>
    <w:uiPriority w:val="99"/>
    <w:semiHidden/>
    <w:rsid w:val="003650A8"/>
  </w:style>
  <w:style w:type="paragraph" w:styleId="CommentSubject">
    <w:name w:val="annotation subject"/>
    <w:basedOn w:val="CommentText"/>
    <w:next w:val="CommentText"/>
    <w:link w:val="CommentSubjectChar"/>
    <w:uiPriority w:val="99"/>
    <w:semiHidden/>
    <w:unhideWhenUsed/>
    <w:rsid w:val="003650A8"/>
    <w:rPr>
      <w:b/>
      <w:bCs/>
      <w:sz w:val="20"/>
      <w:szCs w:val="20"/>
    </w:rPr>
  </w:style>
  <w:style w:type="character" w:customStyle="1" w:styleId="CommentSubjectChar">
    <w:name w:val="Comment Subject Char"/>
    <w:basedOn w:val="CommentTextChar"/>
    <w:link w:val="CommentSubject"/>
    <w:uiPriority w:val="99"/>
    <w:semiHidden/>
    <w:rsid w:val="003650A8"/>
    <w:rPr>
      <w:b/>
      <w:bCs/>
      <w:sz w:val="20"/>
      <w:szCs w:val="20"/>
    </w:rPr>
  </w:style>
  <w:style w:type="paragraph" w:styleId="BalloonText">
    <w:name w:val="Balloon Text"/>
    <w:basedOn w:val="Normal"/>
    <w:link w:val="BalloonTextChar"/>
    <w:uiPriority w:val="99"/>
    <w:semiHidden/>
    <w:unhideWhenUsed/>
    <w:rsid w:val="003650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0A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900007">
      <w:bodyDiv w:val="1"/>
      <w:marLeft w:val="0"/>
      <w:marRight w:val="0"/>
      <w:marTop w:val="0"/>
      <w:marBottom w:val="0"/>
      <w:divBdr>
        <w:top w:val="none" w:sz="0" w:space="0" w:color="auto"/>
        <w:left w:val="none" w:sz="0" w:space="0" w:color="auto"/>
        <w:bottom w:val="none" w:sz="0" w:space="0" w:color="auto"/>
        <w:right w:val="none" w:sz="0" w:space="0" w:color="auto"/>
      </w:divBdr>
    </w:div>
    <w:div w:id="109891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endnotes" Target="endnotes.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microsoft.com/office/2007/relationships/stylesWithEffects" Target="stylesWithEffects.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exxonmobil.com/Corporate/about_wha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1370</Words>
  <Characters>7815</Characters>
  <Application>Microsoft Macintosh Word</Application>
  <DocSecurity>0</DocSecurity>
  <Lines>65</Lines>
  <Paragraphs>18</Paragraphs>
  <ScaleCrop>false</ScaleCrop>
  <Company/>
  <LinksUpToDate>false</LinksUpToDate>
  <CharactersWithSpaces>9167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 Inouye</dc:creator>
  <cp:keywords/>
  <dc:description/>
  <cp:lastModifiedBy>Mie Inouye</cp:lastModifiedBy>
  <cp:revision>3</cp:revision>
  <dcterms:created xsi:type="dcterms:W3CDTF">2013-03-13T14:21:00Z</dcterms:created>
  <dcterms:modified xsi:type="dcterms:W3CDTF">2013-03-13T14:22:00Z</dcterms:modified>
</cp:coreProperties>
</file>