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9FE20" w14:textId="7A2F1557" w:rsidR="00AC424E" w:rsidRPr="00E70F61" w:rsidRDefault="00E70F61" w:rsidP="00E70F61">
      <w:pPr>
        <w:pStyle w:val="Title"/>
        <w:jc w:val="center"/>
        <w:rPr>
          <w:rFonts w:ascii="Cambria Math" w:hAnsi="Cambria Math"/>
          <w:b/>
          <w:bCs/>
          <w:sz w:val="36"/>
          <w:szCs w:val="36"/>
        </w:rPr>
      </w:pPr>
      <w:r w:rsidRPr="00E70F61">
        <w:rPr>
          <w:rFonts w:ascii="Cambria Math" w:hAnsi="Cambria Math"/>
          <w:b/>
          <w:bCs/>
          <w:sz w:val="36"/>
          <w:szCs w:val="36"/>
        </w:rPr>
        <w:t>EXECUTIVE INSIGHTS REPORT</w:t>
      </w:r>
    </w:p>
    <w:p w14:paraId="2F36FEB9" w14:textId="77777777" w:rsidR="00AC424E" w:rsidRPr="00E70F61" w:rsidRDefault="00000000" w:rsidP="00E70F61">
      <w:pPr>
        <w:pStyle w:val="Heading2"/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sz w:val="24"/>
          <w:szCs w:val="24"/>
        </w:rPr>
        <w:t>Customer Churn Analysis — Telco Customer Churn Dataset</w:t>
      </w:r>
    </w:p>
    <w:p w14:paraId="6BD6C4AA" w14:textId="77777777" w:rsidR="00AC424E" w:rsidRPr="00E70F61" w:rsidRDefault="00000000" w:rsidP="00E70F61">
      <w:pPr>
        <w:spacing w:after="300"/>
        <w:jc w:val="both"/>
        <w:rPr>
          <w:rFonts w:ascii="Cambria Math" w:hAnsi="Cambria Math"/>
          <w:sz w:val="24"/>
          <w:szCs w:val="24"/>
        </w:rPr>
      </w:pPr>
      <w:proofErr w:type="spellStart"/>
      <w:r w:rsidRPr="00E70F61">
        <w:rPr>
          <w:rFonts w:ascii="Cambria Math" w:hAnsi="Cambria Math"/>
          <w:sz w:val="24"/>
          <w:szCs w:val="24"/>
        </w:rPr>
        <w:t>AnalystLab</w:t>
      </w:r>
      <w:proofErr w:type="spellEnd"/>
      <w:r w:rsidRPr="00E70F61">
        <w:rPr>
          <w:rFonts w:ascii="Cambria Math" w:hAnsi="Cambria Math"/>
          <w:sz w:val="24"/>
          <w:szCs w:val="24"/>
        </w:rPr>
        <w:t xml:space="preserve"> Africa · Data Analytics Internship · Week 3</w:t>
      </w:r>
    </w:p>
    <w:p w14:paraId="29439636" w14:textId="77777777" w:rsidR="00AC424E" w:rsidRPr="00E70F61" w:rsidRDefault="00000000" w:rsidP="00E70F61">
      <w:pPr>
        <w:pStyle w:val="Heading1"/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sz w:val="24"/>
          <w:szCs w:val="24"/>
        </w:rPr>
        <w:t>1. Key Findings</w:t>
      </w:r>
    </w:p>
    <w:p w14:paraId="20E65130" w14:textId="77777777" w:rsidR="00AC424E" w:rsidRPr="00E70F61" w:rsidRDefault="00000000" w:rsidP="00E70F61">
      <w:pPr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b/>
          <w:bCs/>
          <w:sz w:val="24"/>
          <w:szCs w:val="24"/>
        </w:rPr>
        <w:t xml:space="preserve">Overall churn rate: </w:t>
      </w:r>
      <w:r w:rsidRPr="00E70F61">
        <w:rPr>
          <w:rFonts w:ascii="Cambria Math" w:hAnsi="Cambria Math"/>
          <w:sz w:val="24"/>
          <w:szCs w:val="24"/>
        </w:rPr>
        <w:t>26.5% of customers (1,869 of 7,043) have churned, while 73.5% remain active.</w:t>
      </w:r>
    </w:p>
    <w:p w14:paraId="3EC5616C" w14:textId="77777777" w:rsidR="00AC424E" w:rsidRPr="00E70F61" w:rsidRDefault="00000000" w:rsidP="00E70F61">
      <w:pPr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b/>
          <w:bCs/>
          <w:sz w:val="24"/>
          <w:szCs w:val="24"/>
        </w:rPr>
        <w:t xml:space="preserve">Contract type is the strongest churn driver: </w:t>
      </w:r>
      <w:r w:rsidRPr="00E70F61">
        <w:rPr>
          <w:rFonts w:ascii="Cambria Math" w:hAnsi="Cambria Math"/>
          <w:sz w:val="24"/>
          <w:szCs w:val="24"/>
        </w:rPr>
        <w:t>month-to-month customers churn at 42.7%, compared to 11.3% for one-year contracts and just 2.8% for two-year contracts.</w:t>
      </w:r>
    </w:p>
    <w:p w14:paraId="353754E9" w14:textId="77777777" w:rsidR="00AC424E" w:rsidRPr="00E70F61" w:rsidRDefault="00000000" w:rsidP="00E70F61">
      <w:pPr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b/>
          <w:bCs/>
          <w:sz w:val="24"/>
          <w:szCs w:val="24"/>
        </w:rPr>
        <w:t xml:space="preserve">Internet service matters: </w:t>
      </w:r>
      <w:r w:rsidRPr="00E70F61">
        <w:rPr>
          <w:rFonts w:ascii="Cambria Math" w:hAnsi="Cambria Math"/>
          <w:sz w:val="24"/>
          <w:szCs w:val="24"/>
        </w:rPr>
        <w:t>fiber optic customers churn at 41.9%, nearly double DSL customers (19.0%) and far above customers with no internet service (7.4%).</w:t>
      </w:r>
    </w:p>
    <w:p w14:paraId="26C13EF8" w14:textId="77777777" w:rsidR="00AC424E" w:rsidRPr="00E70F61" w:rsidRDefault="00000000" w:rsidP="00E70F61">
      <w:pPr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b/>
          <w:bCs/>
          <w:sz w:val="24"/>
          <w:szCs w:val="24"/>
        </w:rPr>
        <w:t xml:space="preserve">Payment method is a red flag: </w:t>
      </w:r>
      <w:r w:rsidRPr="00E70F61">
        <w:rPr>
          <w:rFonts w:ascii="Cambria Math" w:hAnsi="Cambria Math"/>
          <w:sz w:val="24"/>
          <w:szCs w:val="24"/>
        </w:rPr>
        <w:t>customers paying by electronic check churn at 45.3%, compared to 15–19% for automatic bank transfer, automatic credit card, and mailed check.</w:t>
      </w:r>
    </w:p>
    <w:p w14:paraId="5E997F24" w14:textId="77777777" w:rsidR="00AC424E" w:rsidRPr="00E70F61" w:rsidRDefault="00000000" w:rsidP="00E70F61">
      <w:pPr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b/>
          <w:bCs/>
          <w:sz w:val="24"/>
          <w:szCs w:val="24"/>
        </w:rPr>
        <w:t xml:space="preserve">New customers are highly at risk: </w:t>
      </w:r>
      <w:r w:rsidRPr="00E70F61">
        <w:rPr>
          <w:rFonts w:ascii="Cambria Math" w:hAnsi="Cambria Math"/>
          <w:sz w:val="24"/>
          <w:szCs w:val="24"/>
        </w:rPr>
        <w:t>customers in their first 12 months churn at 47.4%, dropping steadily to just 6.6% for customers with 61+ months of tenure.</w:t>
      </w:r>
    </w:p>
    <w:p w14:paraId="41AF7A1F" w14:textId="77777777" w:rsidR="00AC424E" w:rsidRPr="00E70F61" w:rsidRDefault="00000000" w:rsidP="00E70F61">
      <w:pPr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b/>
          <w:bCs/>
          <w:sz w:val="24"/>
          <w:szCs w:val="24"/>
        </w:rPr>
        <w:t xml:space="preserve">Lack of support services doubles churn risk: </w:t>
      </w:r>
      <w:r w:rsidRPr="00E70F61">
        <w:rPr>
          <w:rFonts w:ascii="Cambria Math" w:hAnsi="Cambria Math"/>
          <w:sz w:val="24"/>
          <w:szCs w:val="24"/>
        </w:rPr>
        <w:t>customers without Tech Support churn at 41.6% vs 15.2% with it; customers without Online Security churn at 41.8% vs 14.6% with it.</w:t>
      </w:r>
    </w:p>
    <w:p w14:paraId="03ECBC46" w14:textId="77777777" w:rsidR="00AC424E" w:rsidRPr="00E70F61" w:rsidRDefault="00000000" w:rsidP="00E70F61">
      <w:pPr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b/>
          <w:bCs/>
          <w:sz w:val="24"/>
          <w:szCs w:val="24"/>
        </w:rPr>
        <w:t xml:space="preserve">Household structure correlates with loyalty: </w:t>
      </w:r>
      <w:r w:rsidRPr="00E70F61">
        <w:rPr>
          <w:rFonts w:ascii="Cambria Math" w:hAnsi="Cambria Math"/>
          <w:sz w:val="24"/>
          <w:szCs w:val="24"/>
        </w:rPr>
        <w:t>customers without a partner churn at 33.0% vs 19.7% with a partner; customers without dependents churn at 31.3% vs 15.5% with dependents.</w:t>
      </w:r>
    </w:p>
    <w:p w14:paraId="2BFF8812" w14:textId="77777777" w:rsidR="00AC424E" w:rsidRPr="00E70F61" w:rsidRDefault="00000000" w:rsidP="00E70F61">
      <w:pPr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b/>
          <w:bCs/>
          <w:sz w:val="24"/>
          <w:szCs w:val="24"/>
        </w:rPr>
        <w:t xml:space="preserve">Senior citizens churn nearly twice as often: </w:t>
      </w:r>
      <w:r w:rsidRPr="00E70F61">
        <w:rPr>
          <w:rFonts w:ascii="Cambria Math" w:hAnsi="Cambria Math"/>
          <w:sz w:val="24"/>
          <w:szCs w:val="24"/>
        </w:rPr>
        <w:t>41.7% churn rate for senior citizens vs 23.6% for non-seniors.</w:t>
      </w:r>
    </w:p>
    <w:p w14:paraId="0513EEB0" w14:textId="77777777" w:rsidR="00AC424E" w:rsidRPr="00E70F61" w:rsidRDefault="00000000" w:rsidP="00E70F61">
      <w:pPr>
        <w:pStyle w:val="Heading1"/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sz w:val="24"/>
          <w:szCs w:val="24"/>
        </w:rPr>
        <w:t>2. Major Churn Drivers</w:t>
      </w:r>
    </w:p>
    <w:p w14:paraId="68B888BD" w14:textId="77777777" w:rsidR="00AC424E" w:rsidRPr="00E70F61" w:rsidRDefault="00000000" w:rsidP="00E70F61">
      <w:pPr>
        <w:spacing w:after="100"/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sz w:val="24"/>
          <w:szCs w:val="24"/>
        </w:rPr>
        <w:t>Ranked from strongest to weakest observed effect:</w:t>
      </w:r>
    </w:p>
    <w:p w14:paraId="0A629A59" w14:textId="77777777" w:rsidR="00AC424E" w:rsidRPr="00E70F61" w:rsidRDefault="00000000" w:rsidP="00E70F61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sz w:val="24"/>
          <w:szCs w:val="24"/>
        </w:rPr>
        <w:t>1. Contract type (month-to-month vs. long-term)</w:t>
      </w:r>
    </w:p>
    <w:p w14:paraId="03C7FA17" w14:textId="77777777" w:rsidR="00AC424E" w:rsidRPr="00E70F61" w:rsidRDefault="00000000" w:rsidP="00E70F61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sz w:val="24"/>
          <w:szCs w:val="24"/>
        </w:rPr>
        <w:t>2. Tenure (newer customers churn far more)</w:t>
      </w:r>
    </w:p>
    <w:p w14:paraId="29D1E8D9" w14:textId="77777777" w:rsidR="00AC424E" w:rsidRPr="00E70F61" w:rsidRDefault="00000000" w:rsidP="00E70F61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sz w:val="24"/>
          <w:szCs w:val="24"/>
        </w:rPr>
        <w:t>3. Payment method (electronic check strongly associated with churn)</w:t>
      </w:r>
    </w:p>
    <w:p w14:paraId="74DE91EA" w14:textId="77777777" w:rsidR="00AC424E" w:rsidRPr="00E70F61" w:rsidRDefault="00000000" w:rsidP="00E70F61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sz w:val="24"/>
          <w:szCs w:val="24"/>
        </w:rPr>
        <w:t>4. Internet service type (fiber optic customers churn most)</w:t>
      </w:r>
    </w:p>
    <w:p w14:paraId="1990A9FB" w14:textId="77777777" w:rsidR="00AC424E" w:rsidRPr="00E70F61" w:rsidRDefault="00000000" w:rsidP="00E70F61">
      <w:pPr>
        <w:pStyle w:val="ListParagraph"/>
        <w:numPr>
          <w:ilvl w:val="0"/>
          <w:numId w:val="1"/>
        </w:numPr>
        <w:spacing w:after="200"/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sz w:val="24"/>
          <w:szCs w:val="24"/>
        </w:rPr>
        <w:t>5. Absence of add-on support services (Tech Support, Online Security)</w:t>
      </w:r>
    </w:p>
    <w:p w14:paraId="5DD5D248" w14:textId="77777777" w:rsidR="00AC424E" w:rsidRPr="00E70F61" w:rsidRDefault="00000000" w:rsidP="00E70F61">
      <w:pPr>
        <w:pStyle w:val="Heading1"/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sz w:val="24"/>
          <w:szCs w:val="24"/>
        </w:rPr>
        <w:t>3. Business Risks</w:t>
      </w:r>
    </w:p>
    <w:p w14:paraId="6EF0F4A9" w14:textId="77777777" w:rsidR="00AC424E" w:rsidRPr="00E70F61" w:rsidRDefault="00000000" w:rsidP="00E70F61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sz w:val="24"/>
          <w:szCs w:val="24"/>
        </w:rPr>
        <w:t>A large share of the customer base sits on flexible, no-commitment month-to-month contracts, which are structurally the highest-churn segment.</w:t>
      </w:r>
    </w:p>
    <w:p w14:paraId="2CE6F5CD" w14:textId="77777777" w:rsidR="00AC424E" w:rsidRPr="00E70F61" w:rsidRDefault="00000000" w:rsidP="00E70F61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sz w:val="24"/>
          <w:szCs w:val="24"/>
        </w:rPr>
        <w:t>New customer onboarding (0-12 months) is the single highest-risk period; nearly half of new customers do not stay past their first year.</w:t>
      </w:r>
    </w:p>
    <w:p w14:paraId="33707D6F" w14:textId="77777777" w:rsidR="00AC424E" w:rsidRPr="00E70F61" w:rsidRDefault="00000000" w:rsidP="00E70F61">
      <w:pPr>
        <w:pStyle w:val="ListParagraph"/>
        <w:numPr>
          <w:ilvl w:val="0"/>
          <w:numId w:val="1"/>
        </w:numPr>
        <w:spacing w:after="200"/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sz w:val="24"/>
          <w:szCs w:val="24"/>
        </w:rPr>
        <w:t>Fiber optic, the company's premium internet product, is retaining customers worse than the lower-cost DSL product — suggesting a service quality or price-value mismatch.</w:t>
      </w:r>
    </w:p>
    <w:p w14:paraId="7D88DB7E" w14:textId="77777777" w:rsidR="00AC424E" w:rsidRPr="00E70F61" w:rsidRDefault="00000000" w:rsidP="00E70F61">
      <w:pPr>
        <w:pStyle w:val="Heading1"/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sz w:val="24"/>
          <w:szCs w:val="24"/>
        </w:rPr>
        <w:t>4. Revenue Impact</w:t>
      </w:r>
    </w:p>
    <w:p w14:paraId="06597E9E" w14:textId="77777777" w:rsidR="00AC424E" w:rsidRPr="00E70F61" w:rsidRDefault="00000000" w:rsidP="00E70F61">
      <w:pPr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b/>
          <w:bCs/>
          <w:sz w:val="24"/>
          <w:szCs w:val="24"/>
        </w:rPr>
        <w:t xml:space="preserve">Estimated total revenue lost to churned customers: </w:t>
      </w:r>
      <w:proofErr w:type="spellStart"/>
      <w:r w:rsidRPr="00E70F61">
        <w:rPr>
          <w:rFonts w:ascii="Cambria Math" w:hAnsi="Cambria Math"/>
          <w:sz w:val="24"/>
          <w:szCs w:val="24"/>
        </w:rPr>
        <w:t>Ksh</w:t>
      </w:r>
      <w:proofErr w:type="spellEnd"/>
      <w:r w:rsidRPr="00E70F61">
        <w:rPr>
          <w:rFonts w:ascii="Cambria Math" w:hAnsi="Cambria Math"/>
          <w:sz w:val="24"/>
          <w:szCs w:val="24"/>
        </w:rPr>
        <w:t xml:space="preserve"> 2,862,927 (sum of total charges billed to customers who have since churned).</w:t>
      </w:r>
    </w:p>
    <w:p w14:paraId="325B2108" w14:textId="77777777" w:rsidR="00AC424E" w:rsidRPr="00E70F61" w:rsidRDefault="00000000" w:rsidP="00E70F61">
      <w:pPr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b/>
          <w:bCs/>
          <w:sz w:val="24"/>
          <w:szCs w:val="24"/>
        </w:rPr>
        <w:t xml:space="preserve">Average monthly charge across all customers: </w:t>
      </w:r>
      <w:proofErr w:type="spellStart"/>
      <w:r w:rsidRPr="00E70F61">
        <w:rPr>
          <w:rFonts w:ascii="Cambria Math" w:hAnsi="Cambria Math"/>
          <w:sz w:val="24"/>
          <w:szCs w:val="24"/>
        </w:rPr>
        <w:t>Ksh</w:t>
      </w:r>
      <w:proofErr w:type="spellEnd"/>
      <w:r w:rsidRPr="00E70F61">
        <w:rPr>
          <w:rFonts w:ascii="Cambria Math" w:hAnsi="Cambria Math"/>
          <w:sz w:val="24"/>
          <w:szCs w:val="24"/>
        </w:rPr>
        <w:t xml:space="preserve"> 64.76.</w:t>
      </w:r>
    </w:p>
    <w:p w14:paraId="6D0EFB22" w14:textId="77777777" w:rsidR="00AC424E" w:rsidRPr="00E70F61" w:rsidRDefault="00000000" w:rsidP="00E70F61">
      <w:pPr>
        <w:spacing w:after="200"/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b/>
          <w:bCs/>
          <w:sz w:val="24"/>
          <w:szCs w:val="24"/>
        </w:rPr>
        <w:t xml:space="preserve">Estimated Customer Lifetime Value: </w:t>
      </w:r>
      <w:r w:rsidRPr="00E70F61">
        <w:rPr>
          <w:rFonts w:ascii="Cambria Math" w:hAnsi="Cambria Math"/>
          <w:sz w:val="24"/>
          <w:szCs w:val="24"/>
        </w:rPr>
        <w:t>~</w:t>
      </w:r>
      <w:proofErr w:type="spellStart"/>
      <w:r w:rsidRPr="00E70F61">
        <w:rPr>
          <w:rFonts w:ascii="Cambria Math" w:hAnsi="Cambria Math"/>
          <w:sz w:val="24"/>
          <w:szCs w:val="24"/>
        </w:rPr>
        <w:t>Ksh</w:t>
      </w:r>
      <w:proofErr w:type="spellEnd"/>
      <w:r w:rsidRPr="00E70F61">
        <w:rPr>
          <w:rFonts w:ascii="Cambria Math" w:hAnsi="Cambria Math"/>
          <w:sz w:val="24"/>
          <w:szCs w:val="24"/>
        </w:rPr>
        <w:t xml:space="preserve"> 2,096 (average monthly charge × average tenure). This is a simplified estimate; see Assumptions in the Dashboard Documentation.</w:t>
      </w:r>
    </w:p>
    <w:p w14:paraId="72C52F46" w14:textId="77777777" w:rsidR="00AC424E" w:rsidRPr="00E70F61" w:rsidRDefault="00000000" w:rsidP="00E70F61">
      <w:pPr>
        <w:pStyle w:val="Heading1"/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sz w:val="24"/>
          <w:szCs w:val="24"/>
        </w:rPr>
        <w:lastRenderedPageBreak/>
        <w:t>5. Customer Segments Requiring Attention</w:t>
      </w:r>
    </w:p>
    <w:p w14:paraId="11B38E3D" w14:textId="77777777" w:rsidR="00AC424E" w:rsidRPr="00E70F61" w:rsidRDefault="00000000" w:rsidP="00E70F61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sz w:val="24"/>
          <w:szCs w:val="24"/>
        </w:rPr>
        <w:t>Month-to-month customers with less than 12 months tenure and no Tech Support or Online Security add-ons — this is the compounding highest-risk profile.</w:t>
      </w:r>
    </w:p>
    <w:p w14:paraId="30646CBD" w14:textId="77777777" w:rsidR="00AC424E" w:rsidRPr="00E70F61" w:rsidRDefault="00000000" w:rsidP="00E70F61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sz w:val="24"/>
          <w:szCs w:val="24"/>
        </w:rPr>
        <w:t>Fiber optic customers paying by electronic check — combines the two highest-risk service and payment attributes.</w:t>
      </w:r>
    </w:p>
    <w:p w14:paraId="17AC5971" w14:textId="77777777" w:rsidR="00AC424E" w:rsidRPr="00E70F61" w:rsidRDefault="00000000" w:rsidP="00E70F61">
      <w:pPr>
        <w:pStyle w:val="ListParagraph"/>
        <w:numPr>
          <w:ilvl w:val="0"/>
          <w:numId w:val="1"/>
        </w:numPr>
        <w:spacing w:after="200"/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sz w:val="24"/>
          <w:szCs w:val="24"/>
        </w:rPr>
        <w:t>Senior citizens without a partner or dependents — demographic segment with elevated churn on multiple fronts.</w:t>
      </w:r>
    </w:p>
    <w:p w14:paraId="49F0022B" w14:textId="77777777" w:rsidR="00AC424E" w:rsidRPr="00E70F61" w:rsidRDefault="00000000" w:rsidP="00E70F61">
      <w:pPr>
        <w:pStyle w:val="Heading1"/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sz w:val="24"/>
          <w:szCs w:val="24"/>
        </w:rPr>
        <w:t>6. Executive Recommendations &amp; Strategic Actions</w:t>
      </w:r>
    </w:p>
    <w:p w14:paraId="178FF55A" w14:textId="77777777" w:rsidR="00AC424E" w:rsidRPr="00E70F61" w:rsidRDefault="00000000" w:rsidP="00E70F61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sz w:val="24"/>
          <w:szCs w:val="24"/>
        </w:rPr>
        <w:t>Incentivize contract upgrades: offer discounted pricing or bundled perks to move month-to-month customers onto one- or two-year contracts, directly targeting the largest churn driver.</w:t>
      </w:r>
    </w:p>
    <w:p w14:paraId="08C44D59" w14:textId="77777777" w:rsidR="00AC424E" w:rsidRPr="00E70F61" w:rsidRDefault="00000000" w:rsidP="00E70F61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sz w:val="24"/>
          <w:szCs w:val="24"/>
        </w:rPr>
        <w:t>Strengthen new-customer onboarding: introduce a structured first-90-day engagement program (welcome calls, proactive support check-ins) to address the 47.4% first-year churn rate.</w:t>
      </w:r>
    </w:p>
    <w:p w14:paraId="6DD80607" w14:textId="77777777" w:rsidR="00AC424E" w:rsidRPr="00E70F61" w:rsidRDefault="00000000" w:rsidP="00E70F61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sz w:val="24"/>
          <w:szCs w:val="24"/>
        </w:rPr>
        <w:t>Investigate fiber optic service quality: given fiber customers churn at more than double the DSL rate despite being the premium product, conduct a service-quality and pricing review.</w:t>
      </w:r>
    </w:p>
    <w:p w14:paraId="136C2B50" w14:textId="77777777" w:rsidR="00AC424E" w:rsidRPr="00E70F61" w:rsidRDefault="00000000" w:rsidP="00E70F61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sz w:val="24"/>
          <w:szCs w:val="24"/>
        </w:rPr>
        <w:t>Promote automatic payment methods: incentivize customers to switch from electronic check to automatic bank transfer or credit card, which show meaningfully lower churn.</w:t>
      </w:r>
    </w:p>
    <w:p w14:paraId="37C65DC7" w14:textId="77777777" w:rsidR="00AC424E" w:rsidRPr="00E70F61" w:rsidRDefault="00000000" w:rsidP="00E70F61">
      <w:pPr>
        <w:pStyle w:val="ListParagraph"/>
        <w:numPr>
          <w:ilvl w:val="0"/>
          <w:numId w:val="1"/>
        </w:numPr>
        <w:spacing w:after="200"/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sz w:val="24"/>
          <w:szCs w:val="24"/>
        </w:rPr>
        <w:t>Bundle support services: proactively offer Tech Support and Online Security add-ons, especially to new and fiber optic customers, given the strong retention association.</w:t>
      </w:r>
    </w:p>
    <w:p w14:paraId="50085A3B" w14:textId="617997BA" w:rsidR="00AC424E" w:rsidRPr="00E70F61" w:rsidRDefault="00000000" w:rsidP="00E70F61">
      <w:pPr>
        <w:jc w:val="both"/>
        <w:rPr>
          <w:rFonts w:ascii="Cambria Math" w:hAnsi="Cambria Math"/>
          <w:sz w:val="24"/>
          <w:szCs w:val="24"/>
        </w:rPr>
      </w:pPr>
      <w:r w:rsidRPr="00E70F61">
        <w:rPr>
          <w:rFonts w:ascii="Cambria Math" w:hAnsi="Cambria Math"/>
          <w:sz w:val="24"/>
          <w:szCs w:val="24"/>
        </w:rPr>
        <w:t xml:space="preserve">Prepared as part of the </w:t>
      </w:r>
      <w:proofErr w:type="spellStart"/>
      <w:r w:rsidRPr="00E70F61">
        <w:rPr>
          <w:rFonts w:ascii="Cambria Math" w:hAnsi="Cambria Math"/>
          <w:sz w:val="24"/>
          <w:szCs w:val="24"/>
        </w:rPr>
        <w:t>AnalystLab</w:t>
      </w:r>
      <w:proofErr w:type="spellEnd"/>
      <w:r w:rsidRPr="00E70F61">
        <w:rPr>
          <w:rFonts w:ascii="Cambria Math" w:hAnsi="Cambria Math"/>
          <w:sz w:val="24"/>
          <w:szCs w:val="24"/>
        </w:rPr>
        <w:t xml:space="preserve"> Africa Data Analytics Internship </w:t>
      </w:r>
      <w:proofErr w:type="spellStart"/>
      <w:r w:rsidRPr="00E70F61">
        <w:rPr>
          <w:rFonts w:ascii="Cambria Math" w:hAnsi="Cambria Math"/>
          <w:sz w:val="24"/>
          <w:szCs w:val="24"/>
        </w:rPr>
        <w:t>Programme</w:t>
      </w:r>
      <w:proofErr w:type="spellEnd"/>
      <w:r w:rsidRPr="00E70F61">
        <w:rPr>
          <w:rFonts w:ascii="Cambria Math" w:hAnsi="Cambria Math"/>
          <w:sz w:val="24"/>
          <w:szCs w:val="24"/>
        </w:rPr>
        <w:t>, Week 3</w:t>
      </w:r>
      <w:r w:rsidR="00E70F61">
        <w:rPr>
          <w:rFonts w:ascii="Cambria Math" w:hAnsi="Cambria Math"/>
          <w:sz w:val="24"/>
          <w:szCs w:val="24"/>
        </w:rPr>
        <w:t xml:space="preserve"> by Samantha Rukwaro</w:t>
      </w:r>
      <w:r w:rsidRPr="00E70F61">
        <w:rPr>
          <w:rFonts w:ascii="Cambria Math" w:hAnsi="Cambria Math"/>
          <w:sz w:val="24"/>
          <w:szCs w:val="24"/>
        </w:rPr>
        <w:t>.</w:t>
      </w:r>
    </w:p>
    <w:sectPr w:rsidR="00AC424E" w:rsidRPr="00E70F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1689A"/>
    <w:multiLevelType w:val="hybridMultilevel"/>
    <w:tmpl w:val="3A787B0A"/>
    <w:lvl w:ilvl="0" w:tplc="C2AE26F0">
      <w:start w:val="1"/>
      <w:numFmt w:val="bullet"/>
      <w:lvlText w:val="●"/>
      <w:lvlJc w:val="left"/>
      <w:pPr>
        <w:ind w:left="720" w:hanging="360"/>
      </w:pPr>
    </w:lvl>
    <w:lvl w:ilvl="1" w:tplc="2D62929A">
      <w:start w:val="1"/>
      <w:numFmt w:val="bullet"/>
      <w:lvlText w:val="○"/>
      <w:lvlJc w:val="left"/>
      <w:pPr>
        <w:ind w:left="1440" w:hanging="360"/>
      </w:pPr>
    </w:lvl>
    <w:lvl w:ilvl="2" w:tplc="8F007B68">
      <w:start w:val="1"/>
      <w:numFmt w:val="bullet"/>
      <w:lvlText w:val="■"/>
      <w:lvlJc w:val="left"/>
      <w:pPr>
        <w:ind w:left="2160" w:hanging="360"/>
      </w:pPr>
    </w:lvl>
    <w:lvl w:ilvl="3" w:tplc="DCBEEBBA">
      <w:start w:val="1"/>
      <w:numFmt w:val="bullet"/>
      <w:lvlText w:val="●"/>
      <w:lvlJc w:val="left"/>
      <w:pPr>
        <w:ind w:left="2880" w:hanging="360"/>
      </w:pPr>
    </w:lvl>
    <w:lvl w:ilvl="4" w:tplc="EFF8A5F0">
      <w:start w:val="1"/>
      <w:numFmt w:val="bullet"/>
      <w:lvlText w:val="○"/>
      <w:lvlJc w:val="left"/>
      <w:pPr>
        <w:ind w:left="3600" w:hanging="360"/>
      </w:pPr>
    </w:lvl>
    <w:lvl w:ilvl="5" w:tplc="9ADC6294">
      <w:start w:val="1"/>
      <w:numFmt w:val="bullet"/>
      <w:lvlText w:val="■"/>
      <w:lvlJc w:val="left"/>
      <w:pPr>
        <w:ind w:left="4320" w:hanging="360"/>
      </w:pPr>
    </w:lvl>
    <w:lvl w:ilvl="6" w:tplc="66FC70AC">
      <w:start w:val="1"/>
      <w:numFmt w:val="bullet"/>
      <w:lvlText w:val="●"/>
      <w:lvlJc w:val="left"/>
      <w:pPr>
        <w:ind w:left="5040" w:hanging="360"/>
      </w:pPr>
    </w:lvl>
    <w:lvl w:ilvl="7" w:tplc="F8043330">
      <w:start w:val="1"/>
      <w:numFmt w:val="bullet"/>
      <w:lvlText w:val="●"/>
      <w:lvlJc w:val="left"/>
      <w:pPr>
        <w:ind w:left="5760" w:hanging="360"/>
      </w:pPr>
    </w:lvl>
    <w:lvl w:ilvl="8" w:tplc="48CE6AB4">
      <w:start w:val="1"/>
      <w:numFmt w:val="bullet"/>
      <w:lvlText w:val="●"/>
      <w:lvlJc w:val="left"/>
      <w:pPr>
        <w:ind w:left="6480" w:hanging="360"/>
      </w:pPr>
    </w:lvl>
  </w:abstractNum>
  <w:num w:numId="1" w16cid:durableId="17155454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24E"/>
    <w:rsid w:val="00224D78"/>
    <w:rsid w:val="00AC424E"/>
    <w:rsid w:val="00E7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457B9"/>
  <w15:docId w15:val="{0645A128-A23F-48EC-9893-121C1E4DE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576</Words>
  <Characters>3453</Characters>
  <Application>Microsoft Office Word</Application>
  <DocSecurity>0</DocSecurity>
  <Lines>143</Lines>
  <Paragraphs>85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Samanth Rukwaro</cp:lastModifiedBy>
  <cp:revision>2</cp:revision>
  <dcterms:created xsi:type="dcterms:W3CDTF">2026-08-23T21:42:00Z</dcterms:created>
  <dcterms:modified xsi:type="dcterms:W3CDTF">2026-08-23T21:42:00Z</dcterms:modified>
</cp:coreProperties>
</file>