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62062" w:rsidP="00E62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062">
        <w:rPr>
          <w:rFonts w:ascii="Times New Roman" w:hAnsi="Times New Roman" w:cs="Times New Roman"/>
          <w:b/>
          <w:sz w:val="24"/>
          <w:szCs w:val="24"/>
        </w:rPr>
        <w:t>TÀI LIỆU THAM KHẢO</w:t>
      </w:r>
    </w:p>
    <w:p w:rsidR="00E62062" w:rsidRPr="00E62062" w:rsidRDefault="00E62062" w:rsidP="00E62062">
      <w:pPr>
        <w:spacing w:line="256" w:lineRule="auto"/>
        <w:rPr>
          <w:rFonts w:ascii="Times New Roman" w:eastAsia="Calibri" w:hAnsi="Times New Roman" w:cs="Times New Roman"/>
          <w:color w:val="0563C1" w:themeColor="hyperlink"/>
          <w:sz w:val="24"/>
          <w:u w:val="single"/>
        </w:rPr>
      </w:pPr>
      <w:r w:rsidRPr="00E62062">
        <w:rPr>
          <w:rFonts w:ascii="Times New Roman" w:eastAsia="Calibri" w:hAnsi="Times New Roman" w:cs="Times New Roman"/>
          <w:sz w:val="24"/>
        </w:rPr>
        <w:t xml:space="preserve">1. </w:t>
      </w:r>
      <w:hyperlink r:id="rId4" w:history="1">
        <w:r w:rsidRPr="00E62062">
          <w:rPr>
            <w:rFonts w:ascii="Times New Roman" w:eastAsia="Calibri" w:hAnsi="Times New Roman" w:cs="Times New Roman"/>
            <w:color w:val="0563C1" w:themeColor="hyperlink"/>
            <w:sz w:val="24"/>
            <w:u w:val="single"/>
          </w:rPr>
          <w:t>http://vi.swewe.org/word_show.htm/?1288219_1&amp;Vygotsky</w:t>
        </w:r>
      </w:hyperlink>
    </w:p>
    <w:p w:rsidR="00E62062" w:rsidRPr="00E62062" w:rsidRDefault="00E62062" w:rsidP="00E62062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2. Thomas Amstrong (2011), Đa trí tuệ trong lớp học (Multiple Intelligences in the Classroom), Nxb GD, Hà Nội.</w:t>
      </w:r>
    </w:p>
    <w:p w:rsidR="00E62062" w:rsidRPr="00E62062" w:rsidRDefault="00E62062" w:rsidP="00E62062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3. Nguyễn Hữu Đĩnh, Đặng Thị Oanh, Đặng Xuân Thư (2008), Dạy và học hóa học 11 theo hướng đổi mới, Nxb GD, Hà Nội.</w:t>
      </w:r>
    </w:p>
    <w:p w:rsidR="00E62062" w:rsidRPr="00E62062" w:rsidRDefault="00E62062" w:rsidP="00E62062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4. Bùi Phương Nga, Đỗ Hương Trà (2011), Học tích cực – đánh giá kết quả học tập của HS THCS vùng khó khăn nhất, Tài liệu dành cho sinh viên Cao đẳng Sư phạm năm cuối, Hà Nội.</w:t>
      </w:r>
    </w:p>
    <w:p w:rsidR="00E62062" w:rsidRPr="00E62062" w:rsidRDefault="00E62062" w:rsidP="00E62062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5. Bộ GD và Đào tạo, Vụ GD trung học (2014), Dạy học và kiểm tra đánh giá kết quả học tập theo định hướng PTNL HS môn Hóa học, Tài liệu tập huấn</w:t>
      </w:r>
    </w:p>
    <w:p w:rsidR="00E62062" w:rsidRPr="00E62062" w:rsidRDefault="00E62062" w:rsidP="00E62062">
      <w:pPr>
        <w:rPr>
          <w:rFonts w:ascii="Times New Roman" w:hAnsi="Times New Roman" w:cs="Times New Roman"/>
          <w:b/>
          <w:sz w:val="24"/>
          <w:szCs w:val="24"/>
        </w:rPr>
      </w:pPr>
      <w:r w:rsidRPr="00E62062">
        <w:rPr>
          <w:rFonts w:ascii="Times New Roman" w:eastAsia="Calibri" w:hAnsi="Times New Roman" w:cs="Times New Roman"/>
          <w:sz w:val="24"/>
        </w:rPr>
        <w:t>6. Carol Ann Tomlinson (2015), “Leading for Differentiation: Growing Teachers Who Grow Kids” , p. 14 – 33.</w:t>
      </w:r>
      <w:bookmarkStart w:id="0" w:name="_GoBack"/>
      <w:bookmarkEnd w:id="0"/>
    </w:p>
    <w:sectPr w:rsidR="00E62062" w:rsidRPr="00E6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62"/>
    <w:rsid w:val="00260225"/>
    <w:rsid w:val="003515EA"/>
    <w:rsid w:val="007433B7"/>
    <w:rsid w:val="0094426E"/>
    <w:rsid w:val="00E62062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C09"/>
  <w15:chartTrackingRefBased/>
  <w15:docId w15:val="{AD6F5ACA-769D-48EE-BB23-CCDB9739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.swewe.org/word_show.htm/?1288219_1&amp;Vygot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1</cp:revision>
  <dcterms:created xsi:type="dcterms:W3CDTF">2018-07-11T08:47:00Z</dcterms:created>
  <dcterms:modified xsi:type="dcterms:W3CDTF">2018-07-11T08:48:00Z</dcterms:modified>
</cp:coreProperties>
</file>