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ntech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62B49"/>
          <w:sz w:val="44"/>
        </w:rPr>
        <w:t>Manual de Uso - Estudo de Cobertura</w:t>
      </w:r>
    </w:p>
    <w:p>
      <w:pPr>
        <w:jc w:val="center"/>
      </w:pPr>
      <w:r>
        <w:rPr>
          <w:color w:val="667085"/>
          <w:sz w:val="24"/>
        </w:rPr>
        <w:t>Streamlit | Sell-in x Sell-out | Comparação | Cobertura Dash</w:t>
      </w:r>
    </w:p>
    <w:p>
      <w:pPr>
        <w:jc w:val="center"/>
      </w:pPr>
      <w:r>
        <w:rPr>
          <w:i/>
          <w:color w:val="667085"/>
          <w:sz w:val="18"/>
        </w:rPr>
        <w:t>Atualizado em 25/05/2026 | Uso interno</w:t>
      </w:r>
    </w:p>
    <w:p>
      <w:r>
        <w:t>Objetivo: orientar o usuário na preparação dos arquivos, seleção dos parâmetros, uso da interface Streamlit e geração dos estudos em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9F8FB"/>
          </w:tcPr>
          <w:p>
            <w:r>
              <w:rPr>
                <w:b/>
                <w:color w:val="062B49"/>
                <w:sz w:val="20"/>
              </w:rPr>
              <w:t>Atualização desta versão</w:t>
              <w:br/>
            </w:r>
            <w:r>
              <w:rPr>
                <w:color w:val="385871"/>
                <w:sz w:val="18"/>
              </w:rPr>
              <w:t>Removidos os cards visuais de Motor carregado/Motor ativo, Base Contribuição Sell-out desativada por padrão, Congelado tratado como opção recolhida e Manual/Boas Práticas disponíveis no painel lateral para download.</w:t>
            </w:r>
          </w:p>
        </w:tc>
      </w:tr>
    </w:tbl>
    <w:p>
      <w:pPr>
        <w:pStyle w:val="Heading1"/>
      </w:pPr>
      <w:r>
        <w:rPr>
          <w:color w:val="062B49"/>
        </w:rPr>
        <w:t>1. Visão geral do programa</w:t>
      </w:r>
    </w:p>
    <w:p>
      <w:r>
        <w:t>O app gera estudos de cobertura entre Sell-in e Sell-out usando o motor do Estudo de Cobertura. A interface Streamlit permite carregar arquivos, visualizar linhas de demonstração, escolher métrica e agrupamento, definir saídas do Excel e baixar o resultado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Modo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Quando usar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Arquivos principais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Estudo individual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Quando há 1 Sell-in e 1 Sell-out.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Sell-in + Sell-out; Congelado opcional.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2 Sell-outs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Quando o objetivo é comparar o mesmo Sell-in contra SM 2.0 e SM 3.0.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Sell-in + Sell-out 2.0 + Sell-out 3.0; Congelado opcional.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Cobertura Dash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Quando a base de referência vier do Dashboard.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Sell-in + Vendas UF + SKU; Vendas SKU e Congelado opcionais.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Comparação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Quando já existem dois estudos gerados anteriormente.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Estudo 2.0 gerado + Estudo 3.0 gerado.</w:t>
            </w:r>
          </w:p>
        </w:tc>
      </w:tr>
    </w:tbl>
    <w:p>
      <w:pPr>
        <w:pStyle w:val="Heading1"/>
      </w:pPr>
      <w:r>
        <w:rPr>
          <w:color w:val="062B49"/>
        </w:rPr>
        <w:t>2. Tela inicial e painel lateral</w:t>
      </w:r>
    </w:p>
    <w:p>
      <w:r>
        <w:t>Na lateral esquerda ficam o Manual de Uso, as Boas Práticas e os botões de download. O status visual de motor carregado foi removido da tela para deixar a interface mais limpa.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inicial_stream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Tela ilustrativa - Interface Streamlit com painel lateral atualizado.</w:t>
      </w:r>
    </w:p>
    <w:p>
      <w:pPr>
        <w:pStyle w:val="Heading1"/>
      </w:pPr>
      <w:r>
        <w:rPr>
          <w:color w:val="062B49"/>
        </w:rPr>
        <w:t>3. Parâmetros disponíveis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Opções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Como funciona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Cálculo da cobertura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Volume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Usa volume como base comparativa. No FTP, normalmente usa Vendas_em_volume no Sell-out e SELL IN (Kg / L) no Sell-in.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Cálculo da cobertura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Quantidade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Usa quantidade/unidades. No FTP, normalmente usa Qtd_de_Vendas no Sell-out e SELL IN (QUANTIDADE) no Sell-in.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Cálculo da cobertura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Volume variável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Converte o Sell-in em volume estimado com base na gramatura/peso identificado nos SKUs, quando fizer sentido para a categoria.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Agrupar por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Categoria, Nível 1, Nível 2 ou Est Mer 7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Define a abertura principal do estudo e das abas geradas no Excel.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Filtro de Fabricante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Opcional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Reduz a base analisada e melhora performance em arquivos grandes.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9F8FB"/>
          </w:tcPr>
          <w:p>
            <w:r>
              <w:rPr>
                <w:b/>
                <w:color w:val="062B49"/>
                <w:sz w:val="20"/>
              </w:rPr>
              <w:t>Atenção à unidade de medida</w:t>
              <w:br/>
            </w:r>
            <w:r>
              <w:rPr>
                <w:color w:val="385871"/>
                <w:sz w:val="18"/>
              </w:rPr>
              <w:t>O app mantém o motor de ajuste de escala para reduzir diferenças claras entre bases em unidades diferentes, como gramas, quilos, toneladas, milhares ou milhões. Mesmo assim, use sempre a mesma métrica conceitual entre Sell-in e Sell-out.</w:t>
            </w:r>
          </w:p>
        </w:tc>
      </w:tr>
    </w:tbl>
    <w:p>
      <w:pPr>
        <w:pStyle w:val="Heading1"/>
      </w:pPr>
      <w:r>
        <w:rPr>
          <w:color w:val="062B49"/>
        </w:rPr>
        <w:t>4. Saídas do Excel</w:t>
      </w:r>
    </w:p>
    <w:p>
      <w:r>
        <w:t>As abas principais vêm ligadas por padrão. A opção Base Contribuição Sell-out fica desativada por padrão e deve ser marcada apenas quando a análise precisar dessa base técnica.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saidas_exc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Tela ilustrativa - Saídas do Excel com Base Contribuição Sell-out desativada.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Saída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Padrão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Resumo Categorias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Ligado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Resumo geral por categoria/PROD.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Abas por categoria/PROD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Ligado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Detalhamento mensal e por UF.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Base SKUs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Ligado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Detalhamento por SKU/EAN.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Base Contribuição Sell-out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Desligado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Base técnica adicional; ativar apenas quando necessário.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Parâmetros, Avisos e Descrição Cálculos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Ligado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Apoio de auditoria, interpretação e validação.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TOP 20 SKU por UF/Canal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Desligado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Opcional para análises específicas.</w:t>
            </w:r>
          </w:p>
        </w:tc>
      </w:tr>
    </w:tbl>
    <w:p>
      <w:pPr>
        <w:pStyle w:val="Heading1"/>
      </w:pPr>
      <w:r>
        <w:rPr>
          <w:color w:val="062B49"/>
        </w:rPr>
        <w:t>5. Modo Estudo individual</w:t>
      </w:r>
    </w:p>
    <w:p>
      <w:r>
        <w:t>Use este modo com um Sell-in e um Sell-out. O Congelado é opcional e fica escondido até o usuário marcar “Usar Congelado opcional”.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estudo_individ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Tela ilustrativa - Estudo individual com Congelado recolhido.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Obrigatório?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Sell-in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Sim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Usar o template mensal de Sell-in.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Sell-out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Sim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FTP/Publicar ou base compatível.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Congelado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Não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Usar somente para apoiar o mapeamento por SKU/EAN quando necessário.</w:t>
            </w:r>
          </w:p>
        </w:tc>
      </w:tr>
    </w:tbl>
    <w:p>
      <w:pPr>
        <w:pStyle w:val="Heading1"/>
      </w:pPr>
      <w:r>
        <w:rPr>
          <w:color w:val="062B49"/>
        </w:rPr>
        <w:t>6. Modo 2 Sell-outs</w:t>
      </w:r>
    </w:p>
    <w:p>
      <w:r>
        <w:t>Use este modo para comparar o mesmo Sell-in contra dois Sell-outs diferentes, normalmente SM 2.0 e SM 3.0. O Congelado também fica recolhido e opcional.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5256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1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Carregar o Sell-in.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Carregar o Sell-out 2.0.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3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Carregar o Sell-out 3.0.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4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Escolher métrica, agrupamento, fabricante e saídas.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5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Gerar a comparação e baixar o Excel final.</w:t>
            </w:r>
          </w:p>
        </w:tc>
      </w:tr>
    </w:tbl>
    <w:p>
      <w:pPr>
        <w:pStyle w:val="Heading1"/>
      </w:pPr>
      <w:r>
        <w:rPr>
          <w:color w:val="062B49"/>
        </w:rPr>
        <w:t>7. Modo Cobertura Dash</w:t>
      </w:r>
    </w:p>
    <w:p>
      <w:r>
        <w:t>Use este modo quando a base vier do Dashboard. Os arquivos obrigatórios são Sell-in, Vendas UF e SKU. Vendas SKU ajuda na distribuição/classificação por SKU e permanece opcional. Congelado também é opcional e fica recolhido.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cobertura_da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Tela ilustrativa - Cobertura Dash com Congelado opcional.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Obrigatório?</w:t>
            </w:r>
          </w:p>
        </w:tc>
        <w:tc>
          <w:tcPr>
            <w:tcW w:type="dxa" w:w="3504"/>
            <w:shd w:fill="062B4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Sell-in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Sim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Referência do cálculo de cobertura.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Vendas UF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Sim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Base de Sell-out por UF/mês exportada do Dashboard.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SKU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Sim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Fonte principal de SKU/EAN e categoria/PROD no Dash.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Vendas SKU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Não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Apoia distribuição/classificação por SKU quando disponível.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Congelado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Não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color w:val="17202A"/>
                <w:sz w:val="18"/>
              </w:rPr>
              <w:t>Complementa Marca, Fabricante, categoria congelada e Est Mer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9F8FB"/>
          </w:tcPr>
          <w:p>
            <w:r>
              <w:rPr>
                <w:b/>
                <w:color w:val="062B49"/>
                <w:sz w:val="20"/>
              </w:rPr>
              <w:t>Quando não usar Congelado</w:t>
              <w:br/>
            </w:r>
            <w:r>
              <w:rPr>
                <w:color w:val="385871"/>
                <w:sz w:val="18"/>
              </w:rPr>
              <w:t>O processamento segue pelo arquivo SKU. Nesse caso, campos dependentes da Base Congelada, como Marca, Fabricante e Est Mer 7, podem ficar vazios ou menos completos.</w:t>
            </w:r>
          </w:p>
        </w:tc>
      </w:tr>
    </w:tbl>
    <w:p>
      <w:pPr>
        <w:pStyle w:val="Heading1"/>
      </w:pPr>
      <w:r>
        <w:rPr>
          <w:color w:val="062B49"/>
        </w:rPr>
        <w:t>8. Comparação de estudos já gerados</w:t>
      </w:r>
    </w:p>
    <w:p>
      <w:r>
        <w:t>Este modo não usa Sell-in e Sell-out brutos. Ele compara dois arquivos de estudo já gerados anteriormente, como um estudo 2.0 e outro 3.0.</w:t>
      </w:r>
    </w:p>
    <w:p>
      <w:pPr>
        <w:pStyle w:val="Heading1"/>
      </w:pPr>
      <w:r>
        <w:rPr>
          <w:color w:val="062B49"/>
        </w:rPr>
        <w:t>9. Boas práticas antes de gerar</w:t>
      </w:r>
    </w:p>
    <w:p>
      <w:pPr>
        <w:pStyle w:val="ListBullet"/>
      </w:pPr>
      <w:r>
        <w:t>Confira se o Sell-in está mensal e não agregado por MAT, YTD, média ou total.</w:t>
      </w:r>
    </w:p>
    <w:p>
      <w:pPr>
        <w:pStyle w:val="ListBullet"/>
      </w:pPr>
      <w:r>
        <w:t>Use o mesmo critério de métrica entre Sell-in e Sell-out.</w:t>
      </w:r>
    </w:p>
    <w:p>
      <w:pPr>
        <w:pStyle w:val="ListBullet"/>
      </w:pPr>
      <w:r>
        <w:t>Em arquivos grandes do FTP, use filtro de Fabricante.</w:t>
      </w:r>
    </w:p>
    <w:p>
      <w:pPr>
        <w:pStyle w:val="ListBullet"/>
      </w:pPr>
      <w:r>
        <w:t>Se precisar excluir marcas, faça isso antes de carregar o arquivo no app.</w:t>
      </w:r>
    </w:p>
    <w:p>
      <w:pPr>
        <w:pStyle w:val="ListBullet"/>
      </w:pPr>
      <w:r>
        <w:t>No modo 2 Sell-outs, não misture versões de arquivos.</w:t>
      </w:r>
    </w:p>
    <w:p>
      <w:pPr>
        <w:pStyle w:val="ListBullet"/>
      </w:pPr>
      <w:r>
        <w:t>Após gerar o arquivo, revise a aba Avisos antes de interpretar os resultados.</w:t>
      </w:r>
    </w:p>
    <w:p>
      <w:pPr>
        <w:pStyle w:val="Heading1"/>
      </w:pPr>
      <w:r>
        <w:rPr>
          <w:color w:val="062B49"/>
        </w:rPr>
        <w:t>10. Como executar localmente</w:t>
      </w:r>
    </w:p>
    <w:p>
      <w:r>
        <w:t>Na pasta do projeto, execute os comandos abaixo:</w:t>
      </w:r>
    </w:p>
    <w:p>
      <w:r>
        <w:rPr>
          <w:rFonts w:ascii="Consolas" w:hAnsi="Consolas"/>
          <w:sz w:val="18"/>
        </w:rPr>
        <w:t>python -m venv venv</w:t>
        <w:br/>
        <w:t>venv\Scripts\activate</w:t>
        <w:br/>
        <w:t>pip install -r requirements.txt</w:t>
        <w:br/>
        <w:t>streamlit run app.py</w:t>
      </w:r>
    </w:p>
    <w:sectPr w:rsidR="00FC693F" w:rsidRPr="0006063C" w:rsidSect="00034616">
      <w:footerReference w:type="default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Manual de Uso - Estudo de Cobertura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