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9B31E" w14:textId="7BFABC39" w:rsidR="00BD054B" w:rsidRDefault="00544984" w:rsidP="00364022">
      <w:pPr>
        <w:widowControl/>
        <w:spacing w:beforeLines="50" w:before="156" w:afterLines="50" w:after="156"/>
        <w:jc w:val="left"/>
        <w:outlineLvl w:val="1"/>
        <w:rPr>
          <w:rFonts w:ascii="Times New Roman" w:eastAsia="Times New Roman" w:hAnsi="Times New Roman" w:cs="Times New Roman"/>
          <w:bCs/>
          <w:sz w:val="22"/>
          <w:shd w:val="clear" w:color="auto" w:fill="FFFFFF"/>
        </w:rPr>
      </w:pPr>
      <w:r w:rsidRPr="008A51E6">
        <w:rPr>
          <w:rFonts w:ascii="Times New Roman" w:eastAsia="Times New Roman" w:hAnsi="Times New Roman" w:cs="Times New Roman" w:hint="eastAsia"/>
          <w:b/>
          <w:sz w:val="22"/>
          <w:shd w:val="clear" w:color="auto" w:fill="FFFFFF"/>
        </w:rPr>
        <w:t>T</w:t>
      </w:r>
      <w:r w:rsidRPr="008A51E6"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>able</w:t>
      </w:r>
      <w:r w:rsidR="00A16A25"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 xml:space="preserve"> </w:t>
      </w:r>
      <w:r w:rsidR="00590FDA"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>1</w:t>
      </w:r>
      <w:r w:rsidR="00A16A25"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>.</w:t>
      </w:r>
      <w:r w:rsidRPr="008A51E6">
        <w:rPr>
          <w:rFonts w:ascii="Times New Roman" w:eastAsia="Times New Roman" w:hAnsi="Times New Roman" w:cs="Times New Roman"/>
          <w:bCs/>
          <w:sz w:val="22"/>
          <w:shd w:val="clear" w:color="auto" w:fill="FFFFFF"/>
        </w:rPr>
        <w:t xml:space="preserve"> </w:t>
      </w:r>
      <w:r w:rsidRPr="008A51E6">
        <w:rPr>
          <w:rFonts w:ascii="Times New Roman" w:eastAsia="Times New Roman" w:hAnsi="Times New Roman" w:cs="Times New Roman" w:hint="eastAsia"/>
          <w:bCs/>
          <w:sz w:val="22"/>
          <w:shd w:val="clear" w:color="auto" w:fill="FFFFFF"/>
        </w:rPr>
        <w:t>W</w:t>
      </w:r>
      <w:r w:rsidRPr="008A51E6">
        <w:rPr>
          <w:rFonts w:ascii="Times New Roman" w:eastAsia="Times New Roman" w:hAnsi="Times New Roman" w:cs="Times New Roman"/>
          <w:bCs/>
          <w:sz w:val="22"/>
          <w:shd w:val="clear" w:color="auto" w:fill="FFFFFF"/>
        </w:rPr>
        <w:t>RF-CMA</w:t>
      </w:r>
      <w:r w:rsidR="008A51E6">
        <w:rPr>
          <w:rFonts w:ascii="Times New Roman" w:eastAsia="Times New Roman" w:hAnsi="Times New Roman" w:cs="Times New Roman"/>
          <w:bCs/>
          <w:sz w:val="22"/>
          <w:shd w:val="clear" w:color="auto" w:fill="FFFFFF"/>
        </w:rPr>
        <w:t>Q modelling system configurations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94"/>
        <w:gridCol w:w="1983"/>
        <w:gridCol w:w="284"/>
        <w:gridCol w:w="5045"/>
      </w:tblGrid>
      <w:tr w:rsidR="006201EB" w:rsidRPr="006201EB" w14:paraId="32DB0938" w14:textId="77777777" w:rsidTr="009043FD">
        <w:trPr>
          <w:trHeight w:val="20"/>
        </w:trPr>
        <w:tc>
          <w:tcPr>
            <w:tcW w:w="598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12BA80F" w14:textId="1C24747B" w:rsidR="005E6CD6" w:rsidRPr="00994228" w:rsidRDefault="005E6CD6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1194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7D4BF095" w14:textId="401DF789" w:rsidR="005E6CD6" w:rsidRPr="00994228" w:rsidRDefault="005E6CD6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Parameter</w:t>
            </w:r>
          </w:p>
        </w:tc>
        <w:tc>
          <w:tcPr>
            <w:tcW w:w="3208" w:type="pct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65596DED" w14:textId="051EC4A1" w:rsidR="005E6CD6" w:rsidRPr="00994228" w:rsidRDefault="005E6CD6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Configuration schemes</w:t>
            </w:r>
          </w:p>
        </w:tc>
      </w:tr>
      <w:tr w:rsidR="002841DB" w:rsidRPr="006201EB" w14:paraId="63E44C17" w14:textId="77777777" w:rsidTr="006201EB">
        <w:trPr>
          <w:trHeight w:val="20"/>
        </w:trPr>
        <w:tc>
          <w:tcPr>
            <w:tcW w:w="598" w:type="pct"/>
            <w:vMerge w:val="restart"/>
            <w:vAlign w:val="center"/>
          </w:tcPr>
          <w:p w14:paraId="67CFD0AB" w14:textId="7AB4B89C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WRF</w:t>
            </w: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A851B0C" w14:textId="4CBD3A35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Horizontal resolution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4F6B568D" w14:textId="3F4F219B" w:rsidR="002841DB" w:rsidRPr="00994228" w:rsidRDefault="00984064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</w:pPr>
            <w:r w:rsidRPr="00994228">
              <w:rPr>
                <w:rFonts w:ascii="Times New Roman" w:hAnsi="Times New Roman" w:cs="Times New Roman" w:hint="eastAsia"/>
                <w:color w:val="1C1D1E"/>
                <w:sz w:val="20"/>
                <w:szCs w:val="20"/>
                <w:shd w:val="clear" w:color="auto" w:fill="FFFFFF"/>
              </w:rPr>
              <w:t>3</w:t>
            </w: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6km, </w:t>
            </w:r>
            <w:r w:rsidR="004A6887"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181 (column) </w:t>
            </w:r>
            <w:r w:rsidR="004A6887"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×</w:t>
            </w:r>
            <w:r w:rsidR="004A6887"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 136 (row)</w:t>
            </w:r>
          </w:p>
        </w:tc>
      </w:tr>
      <w:tr w:rsidR="002841DB" w:rsidRPr="006201EB" w14:paraId="42346738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37D2CF00" w14:textId="3034F556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D5BF949" w14:textId="4E247292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V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ertical resolution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3C772788" w14:textId="6536A0F5" w:rsidR="002841DB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</w:pP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47 sigma levels from surface to tropopause </w:t>
            </w:r>
          </w:p>
        </w:tc>
      </w:tr>
      <w:tr w:rsidR="002841DB" w:rsidRPr="006201EB" w14:paraId="6CC103F4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406CE22D" w14:textId="5F60420A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C2DB975" w14:textId="37DCA8CB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IC and BC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71308090" w14:textId="048D53B2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>Final analysis data from NCEP</w:t>
            </w:r>
          </w:p>
        </w:tc>
      </w:tr>
      <w:tr w:rsidR="002841DB" w:rsidRPr="006201EB" w14:paraId="28CA14F1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60A94908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3CE19D94" w14:textId="2C44D6D9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Shortwave radiation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36670225" w14:textId="4D2C130F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New Goddard scheme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</w:p>
        </w:tc>
      </w:tr>
      <w:tr w:rsidR="002841DB" w:rsidRPr="006201EB" w14:paraId="6BC4DC19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5B7C4253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6B9230AC" w14:textId="2905C635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Longwave radiation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62622F7E" w14:textId="2EE3F786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RRTM scheme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</w:tr>
      <w:tr w:rsidR="002841DB" w:rsidRPr="006201EB" w14:paraId="2A5A1C79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773586EA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2AE949F3" w14:textId="54050AB4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Surface layer</w:t>
            </w:r>
          </w:p>
        </w:tc>
        <w:tc>
          <w:tcPr>
            <w:tcW w:w="3037" w:type="pct"/>
            <w:shd w:val="clear" w:color="auto" w:fill="auto"/>
            <w:noWrap/>
            <w:vAlign w:val="center"/>
            <w:hideMark/>
          </w:tcPr>
          <w:p w14:paraId="52C6A94F" w14:textId="7A9B97AF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Pleim</w:t>
            </w:r>
            <w:proofErr w:type="spellEnd"/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proofErr w:type="spellStart"/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Xiu</w:t>
            </w:r>
            <w:proofErr w:type="spellEnd"/>
            <w:r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 scheme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2841DB" w:rsidRPr="006201EB" w14:paraId="7D713D1A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328FC89D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5E0304CE" w14:textId="4181A82D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Planetary boundary layer</w:t>
            </w:r>
          </w:p>
        </w:tc>
        <w:tc>
          <w:tcPr>
            <w:tcW w:w="3037" w:type="pct"/>
            <w:shd w:val="clear" w:color="auto" w:fill="auto"/>
            <w:noWrap/>
            <w:vAlign w:val="center"/>
            <w:hideMark/>
          </w:tcPr>
          <w:p w14:paraId="34DC2B2D" w14:textId="3E1703C5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ACM2 scheme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</w:p>
        </w:tc>
      </w:tr>
      <w:tr w:rsidR="002841DB" w:rsidRPr="006201EB" w14:paraId="7DA06F80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6C658B3F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7C4213E4" w14:textId="349C252F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Cumulus</w:t>
            </w:r>
          </w:p>
        </w:tc>
        <w:tc>
          <w:tcPr>
            <w:tcW w:w="3037" w:type="pct"/>
            <w:shd w:val="clear" w:color="auto" w:fill="auto"/>
            <w:noWrap/>
            <w:vAlign w:val="center"/>
            <w:hideMark/>
          </w:tcPr>
          <w:p w14:paraId="0E01FF01" w14:textId="5E495D66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Kain–Fritsch scheme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</w:tr>
      <w:tr w:rsidR="002841DB" w:rsidRPr="006201EB" w14:paraId="59FCDFB5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0DD2657D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0EE26CCD" w14:textId="15D46ACB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Cloud microphysics</w:t>
            </w:r>
          </w:p>
        </w:tc>
        <w:tc>
          <w:tcPr>
            <w:tcW w:w="3037" w:type="pct"/>
            <w:shd w:val="clear" w:color="auto" w:fill="auto"/>
            <w:noWrap/>
            <w:vAlign w:val="center"/>
            <w:hideMark/>
          </w:tcPr>
          <w:p w14:paraId="1F74AC26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WSM6 scheme</w:t>
            </w:r>
          </w:p>
        </w:tc>
      </w:tr>
      <w:tr w:rsidR="002841DB" w:rsidRPr="00953A34" w14:paraId="16C2AC13" w14:textId="77777777" w:rsidTr="003F54F5">
        <w:trPr>
          <w:trHeight w:val="20"/>
        </w:trPr>
        <w:tc>
          <w:tcPr>
            <w:tcW w:w="598" w:type="pct"/>
            <w:vMerge/>
            <w:tcBorders>
              <w:bottom w:val="single" w:sz="4" w:space="0" w:color="auto"/>
            </w:tcBorders>
            <w:vAlign w:val="center"/>
          </w:tcPr>
          <w:p w14:paraId="2F3AA659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0C7421" w14:textId="6A443366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Nudging</w:t>
            </w:r>
          </w:p>
        </w:tc>
        <w:tc>
          <w:tcPr>
            <w:tcW w:w="30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7AEBBF" w14:textId="77777777" w:rsidR="002841DB" w:rsidRDefault="002841DB" w:rsidP="00994228">
            <w:pPr>
              <w:adjustRightInd w:val="0"/>
              <w:snapToGrid w:val="0"/>
              <w:spacing w:before="74" w:after="74"/>
              <w:ind w:left="100" w:hangingChars="50" w:hanging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Analysis nudging, observational nudging, soil nudging </w:t>
            </w:r>
            <w:proofErr w:type="gramStart"/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were</w:t>
            </w:r>
            <w:proofErr w:type="gramEnd"/>
            <w:r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 conducted</w:t>
            </w:r>
          </w:p>
          <w:p w14:paraId="10D000FD" w14:textId="24FC266E" w:rsidR="00953A34" w:rsidRPr="00994228" w:rsidRDefault="00953A34" w:rsidP="00994228">
            <w:pPr>
              <w:adjustRightInd w:val="0"/>
              <w:snapToGrid w:val="0"/>
              <w:spacing w:before="74" w:after="74"/>
              <w:ind w:left="100" w:hangingChars="50" w:hanging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added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additional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 xml:space="preserve"> station observations from the China Meteorological Administration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http://data.cma.cn/wa)</w:t>
            </w:r>
          </w:p>
        </w:tc>
      </w:tr>
      <w:tr w:rsidR="002841DB" w:rsidRPr="006201EB" w14:paraId="6A65DEDC" w14:textId="77777777" w:rsidTr="003F54F5">
        <w:trPr>
          <w:trHeight w:val="20"/>
        </w:trPr>
        <w:tc>
          <w:tcPr>
            <w:tcW w:w="598" w:type="pct"/>
            <w:vMerge w:val="restart"/>
            <w:tcBorders>
              <w:top w:val="single" w:sz="4" w:space="0" w:color="auto"/>
            </w:tcBorders>
            <w:vAlign w:val="center"/>
          </w:tcPr>
          <w:p w14:paraId="702AFD20" w14:textId="2B4E66C1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CMAQ</w:t>
            </w:r>
          </w:p>
        </w:tc>
        <w:tc>
          <w:tcPr>
            <w:tcW w:w="136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3DB0DB" w14:textId="094F9034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Horizontal resolution</w:t>
            </w:r>
          </w:p>
        </w:tc>
        <w:tc>
          <w:tcPr>
            <w:tcW w:w="303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B6A1B2" w14:textId="4660D6D3" w:rsidR="002841DB" w:rsidRPr="00994228" w:rsidRDefault="00984064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6km, 172 (column) </w:t>
            </w: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×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 127 (row)</w:t>
            </w:r>
          </w:p>
        </w:tc>
      </w:tr>
      <w:tr w:rsidR="002841DB" w:rsidRPr="00953A34" w14:paraId="49E2289F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6042E390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012106A6" w14:textId="4C5BC500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V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ertical resolution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6B08C107" w14:textId="2D0F641D" w:rsidR="002841DB" w:rsidRPr="00994228" w:rsidRDefault="00953A34" w:rsidP="00953A34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="003670CC" w:rsidRPr="003670CC">
              <w:rPr>
                <w:rFonts w:ascii="Times New Roman" w:hAnsi="Times New Roman" w:cs="Times New Roman"/>
                <w:sz w:val="20"/>
                <w:szCs w:val="20"/>
              </w:rPr>
              <w:t xml:space="preserve"> sigma levels from surface to tropopause. The values of sigma levels are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1.000,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0.9975,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0.995,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0.992,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0.988,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0.984,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0.980, 0.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975,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0.970,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0.963,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0.956,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0.938,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0.916,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0.893,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0.868,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0.839,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0.808,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0.777,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0.744,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0.702,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0.648,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0.582,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0.500,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0.400,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0.300,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0.200,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0.120,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0.052 and 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</w:tr>
      <w:tr w:rsidR="004A6887" w:rsidRPr="006201EB" w14:paraId="1F7F3656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017A10FC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42EA3245" w14:textId="14EFD548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IC and BC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2D9746AD" w14:textId="57DBFDF2" w:rsidR="004A6887" w:rsidRPr="00994228" w:rsidRDefault="00953A34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lobal chemistry transport model CAM-Chem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outputs</w:t>
            </w:r>
          </w:p>
        </w:tc>
      </w:tr>
      <w:tr w:rsidR="004A6887" w:rsidRPr="006201EB" w14:paraId="4AF90874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3B8E85D9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65B19751" w14:textId="4068CFCE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Gas-phase mechanism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6906F52F" w14:textId="575947DA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CB05</w:t>
            </w:r>
          </w:p>
        </w:tc>
      </w:tr>
      <w:tr w:rsidR="004A6887" w:rsidRPr="006201EB" w14:paraId="03D136CD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284F0E8F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7BEE3F84" w14:textId="5D0AB5B2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Aqueous-phase mechanism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7E07944D" w14:textId="527F8355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RADM</w:t>
            </w:r>
          </w:p>
        </w:tc>
      </w:tr>
      <w:tr w:rsidR="004A6887" w:rsidRPr="006201EB" w14:paraId="780F1182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0C300E73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AA6F931" w14:textId="59AAEB5B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Aerosol module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62B2951B" w14:textId="50A3D705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AERO6</w:t>
            </w:r>
          </w:p>
        </w:tc>
      </w:tr>
      <w:tr w:rsidR="004A6887" w:rsidRPr="006201EB" w14:paraId="1220FF27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1768CC7D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A79A437" w14:textId="743AFE5E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Cloud module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179D8C6D" w14:textId="1323A69A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ACM_AE6 ACM cloud processor</w:t>
            </w:r>
          </w:p>
        </w:tc>
      </w:tr>
      <w:tr w:rsidR="004A6887" w:rsidRPr="006201EB" w14:paraId="1FDEBC9F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16E92E92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0AAC61BF" w14:textId="4C70F059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Photolytic rate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122E9389" w14:textId="59BB151F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In-line calculation</w:t>
            </w:r>
          </w:p>
        </w:tc>
      </w:tr>
      <w:tr w:rsidR="00953A34" w:rsidRPr="006201EB" w14:paraId="663610B0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65C6550A" w14:textId="77777777" w:rsidR="00953A34" w:rsidRPr="00994228" w:rsidRDefault="00953A34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04B93BF9" w14:textId="72C409B1" w:rsidR="00953A34" w:rsidRPr="00994228" w:rsidRDefault="00953A34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eterogeneous reactions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513E830B" w14:textId="36AA5669" w:rsidR="00953A34" w:rsidRPr="00994228" w:rsidRDefault="00953A34" w:rsidP="00953A34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pdated heterogeneous reactions involving HO</w:t>
            </w:r>
            <w:r w:rsidRPr="00953A3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, O</w:t>
            </w:r>
            <w:r w:rsidRPr="00953A3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, OH, H</w:t>
            </w:r>
            <w:r w:rsidRPr="00953A3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953A3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, NO</w:t>
            </w:r>
            <w:r w:rsidRPr="00953A3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, and HNO</w:t>
            </w:r>
            <w:r w:rsidRPr="00953A3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</w:t>
            </w:r>
            <w:r w:rsidRPr="00953A34">
              <w:rPr>
                <w:rFonts w:ascii="Times New Roman" w:hAnsi="Times New Roman" w:cs="Times New Roman"/>
                <w:sz w:val="20"/>
                <w:szCs w:val="20"/>
              </w:rPr>
              <w:t>n the original CMAQ model</w:t>
            </w:r>
            <w:r w:rsidRPr="00953A3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*1</w:t>
            </w:r>
          </w:p>
        </w:tc>
      </w:tr>
      <w:tr w:rsidR="004A6887" w:rsidRPr="006201EB" w14:paraId="24E63F05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3EF6EF09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23D0CDB" w14:textId="3D68C9E1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Anthropogenic emissions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1B22E635" w14:textId="78FB0C78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MEIC for China; MIX for other Asian countries</w:t>
            </w:r>
          </w:p>
        </w:tc>
      </w:tr>
      <w:tr w:rsidR="004A6887" w:rsidRPr="006201EB" w14:paraId="5A96EEE1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300C6C66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67A746C4" w14:textId="3F9C1FF9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Biogenic emissions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1752B282" w14:textId="4849FC3B" w:rsidR="004A6887" w:rsidRPr="00994228" w:rsidRDefault="00953A34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MEGANv3</w:t>
            </w:r>
            <w:r w:rsidR="004A6887" w:rsidRPr="00994228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*2</w:t>
            </w:r>
          </w:p>
        </w:tc>
      </w:tr>
      <w:tr w:rsidR="004A6887" w:rsidRPr="006201EB" w14:paraId="53F048C7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41278ABF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50289D8" w14:textId="52784B21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Open biomass burning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6D6EEFBE" w14:textId="38F25C9E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GFED4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</w:tr>
      <w:tr w:rsidR="004A6887" w:rsidRPr="006201EB" w14:paraId="3CD37D47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4424E4C4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56691150" w14:textId="5B0F4C32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Dust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17CA094D" w14:textId="45A3C0E7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In-line calculation</w:t>
            </w:r>
          </w:p>
        </w:tc>
      </w:tr>
      <w:tr w:rsidR="004A6887" w:rsidRPr="006201EB" w14:paraId="71334DBF" w14:textId="77777777" w:rsidTr="006201EB">
        <w:trPr>
          <w:trHeight w:val="20"/>
        </w:trPr>
        <w:tc>
          <w:tcPr>
            <w:tcW w:w="598" w:type="pct"/>
            <w:vMerge/>
            <w:tcBorders>
              <w:bottom w:val="single" w:sz="12" w:space="0" w:color="auto"/>
            </w:tcBorders>
            <w:vAlign w:val="center"/>
          </w:tcPr>
          <w:p w14:paraId="2C8198AD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51EFB8B" w14:textId="119DB71D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Lightning</w:t>
            </w:r>
          </w:p>
        </w:tc>
        <w:tc>
          <w:tcPr>
            <w:tcW w:w="3037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0A4E6B4" w14:textId="1301CC79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Not included</w:t>
            </w:r>
          </w:p>
        </w:tc>
      </w:tr>
    </w:tbl>
    <w:p w14:paraId="4EDCDA35" w14:textId="77777777" w:rsidR="007C2D53" w:rsidRDefault="007C2D53" w:rsidP="005E6CD6">
      <w:pPr>
        <w:rPr>
          <w:shd w:val="clear" w:color="auto" w:fill="FFFFFF"/>
        </w:rPr>
        <w:sectPr w:rsidR="007C2D5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EAE15D3" w14:textId="3E36EE49" w:rsidR="00DB43E3" w:rsidRDefault="00953A34" w:rsidP="00953A34">
      <w:pPr>
        <w:keepNext/>
        <w:keepLines/>
        <w:spacing w:before="120" w:afterLines="100" w:after="312"/>
        <w:outlineLvl w:val="0"/>
        <w:rPr>
          <w:rFonts w:ascii="Times New Roman" w:eastAsia="等线" w:hAnsi="Times New Roman"/>
          <w:noProof/>
          <w:color w:val="000000"/>
          <w:sz w:val="20"/>
        </w:rPr>
      </w:pPr>
      <w:r>
        <w:rPr>
          <w:rFonts w:ascii="Times New Roman" w:eastAsia="等线" w:hAnsi="Times New Roman" w:hint="eastAsia"/>
          <w:noProof/>
          <w:color w:val="000000"/>
          <w:sz w:val="20"/>
        </w:rPr>
        <w:lastRenderedPageBreak/>
        <w:t>*</w:t>
      </w:r>
      <w:r>
        <w:rPr>
          <w:rFonts w:ascii="Times New Roman" w:eastAsia="等线" w:hAnsi="Times New Roman"/>
          <w:noProof/>
          <w:color w:val="000000"/>
          <w:sz w:val="20"/>
        </w:rPr>
        <w:t xml:space="preserve">1 </w:t>
      </w:r>
      <w:r w:rsidRPr="00953A34">
        <w:rPr>
          <w:rFonts w:ascii="Times New Roman" w:eastAsia="等线" w:hAnsi="Times New Roman"/>
          <w:noProof/>
          <w:color w:val="000000"/>
          <w:sz w:val="20"/>
        </w:rPr>
        <w:t>Yuxi Liu, Guannan Geng, Jing Cheng, Yang Liu, Qingyang Xiao, Liangke Liu, Qinren Shi, Dan Tong, Kebin He, and Qiang Zhang</w:t>
      </w:r>
      <w:r>
        <w:rPr>
          <w:rFonts w:ascii="Times New Roman" w:eastAsia="等线" w:hAnsi="Times New Roman" w:hint="eastAsia"/>
          <w:noProof/>
          <w:color w:val="000000"/>
          <w:sz w:val="20"/>
        </w:rPr>
        <w:t>,</w:t>
      </w:r>
      <w:r>
        <w:rPr>
          <w:rFonts w:ascii="Times New Roman" w:eastAsia="等线" w:hAnsi="Times New Roman"/>
          <w:noProof/>
          <w:color w:val="000000"/>
          <w:sz w:val="20"/>
        </w:rPr>
        <w:t xml:space="preserve"> </w:t>
      </w:r>
      <w:r w:rsidRPr="00953A34">
        <w:rPr>
          <w:rFonts w:ascii="Times New Roman" w:eastAsia="等线" w:hAnsi="Times New Roman"/>
          <w:noProof/>
          <w:color w:val="000000"/>
          <w:sz w:val="20"/>
        </w:rPr>
        <w:t>Environmental Science &amp; Technology 2023 57 (24), 8954-8964</w:t>
      </w:r>
      <w:r>
        <w:rPr>
          <w:rFonts w:ascii="Times New Roman" w:eastAsia="等线" w:hAnsi="Times New Roman" w:hint="eastAsia"/>
          <w:noProof/>
          <w:color w:val="000000"/>
          <w:sz w:val="20"/>
        </w:rPr>
        <w:t>,</w:t>
      </w:r>
      <w:r>
        <w:rPr>
          <w:rFonts w:ascii="Times New Roman" w:eastAsia="等线" w:hAnsi="Times New Roman"/>
          <w:noProof/>
          <w:color w:val="000000"/>
          <w:sz w:val="20"/>
        </w:rPr>
        <w:t xml:space="preserve"> </w:t>
      </w:r>
      <w:r w:rsidRPr="00953A34">
        <w:rPr>
          <w:rFonts w:ascii="Times New Roman" w:eastAsia="等线" w:hAnsi="Times New Roman"/>
          <w:noProof/>
          <w:color w:val="000000"/>
          <w:sz w:val="20"/>
        </w:rPr>
        <w:t>DOI: 10.1021/acs.est.3c00054</w:t>
      </w:r>
    </w:p>
    <w:p w14:paraId="2C36800D" w14:textId="5D13DD34" w:rsidR="00953A34" w:rsidRPr="00401B4A" w:rsidRDefault="00953A34" w:rsidP="00387333">
      <w:pPr>
        <w:keepNext/>
        <w:keepLines/>
        <w:spacing w:before="120" w:afterLines="100" w:after="312"/>
        <w:outlineLvl w:val="0"/>
        <w:rPr>
          <w:rFonts w:ascii="Times New Roman" w:eastAsia="等线" w:hAnsi="Times New Roman"/>
          <w:noProof/>
          <w:color w:val="000000"/>
          <w:sz w:val="20"/>
        </w:rPr>
      </w:pPr>
      <w:r>
        <w:rPr>
          <w:rFonts w:ascii="Times New Roman" w:eastAsia="等线" w:hAnsi="Times New Roman"/>
          <w:noProof/>
          <w:color w:val="000000"/>
          <w:sz w:val="20"/>
        </w:rPr>
        <w:t>*2</w:t>
      </w:r>
      <w:r w:rsidR="00AA31F6">
        <w:rPr>
          <w:rFonts w:ascii="Times New Roman" w:eastAsia="等线" w:hAnsi="Times New Roman"/>
          <w:noProof/>
          <w:color w:val="000000"/>
          <w:sz w:val="20"/>
        </w:rPr>
        <w:t xml:space="preserve"> </w:t>
      </w:r>
      <w:bookmarkStart w:id="0" w:name="_GoBack"/>
      <w:bookmarkEnd w:id="0"/>
      <w:r w:rsidRPr="00953A34">
        <w:rPr>
          <w:rFonts w:ascii="Times New Roman" w:eastAsia="等线" w:hAnsi="Times New Roman"/>
          <w:noProof/>
          <w:color w:val="000000"/>
          <w:sz w:val="20"/>
        </w:rPr>
        <w:t>Isoprene emission response to drought and the impact on global atmospheric chemistry</w:t>
      </w:r>
    </w:p>
    <w:sectPr w:rsidR="00953A34" w:rsidRPr="00401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3527B" w14:textId="77777777" w:rsidR="00195FA1" w:rsidRDefault="00195FA1" w:rsidP="00896B55">
      <w:r>
        <w:separator/>
      </w:r>
    </w:p>
  </w:endnote>
  <w:endnote w:type="continuationSeparator" w:id="0">
    <w:p w14:paraId="16F0141B" w14:textId="77777777" w:rsidR="00195FA1" w:rsidRDefault="00195FA1" w:rsidP="0089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F1315" w14:textId="77777777" w:rsidR="00195FA1" w:rsidRDefault="00195FA1" w:rsidP="00896B55">
      <w:r>
        <w:separator/>
      </w:r>
    </w:p>
  </w:footnote>
  <w:footnote w:type="continuationSeparator" w:id="0">
    <w:p w14:paraId="13F3EA75" w14:textId="77777777" w:rsidR="00195FA1" w:rsidRDefault="00195FA1" w:rsidP="00896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3E29"/>
    <w:multiLevelType w:val="hybridMultilevel"/>
    <w:tmpl w:val="1B46A7AC"/>
    <w:lvl w:ilvl="0" w:tplc="0BD40A22">
      <w:start w:val="203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0C76C8"/>
    <w:multiLevelType w:val="hybridMultilevel"/>
    <w:tmpl w:val="47584DF0"/>
    <w:lvl w:ilvl="0" w:tplc="687832AE">
      <w:start w:val="1"/>
      <w:numFmt w:val="bullet"/>
      <w:lvlText w:val="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676EDD"/>
    <w:multiLevelType w:val="multilevel"/>
    <w:tmpl w:val="16D08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34E5B9B"/>
    <w:multiLevelType w:val="hybridMultilevel"/>
    <w:tmpl w:val="296C7FCE"/>
    <w:lvl w:ilvl="0" w:tplc="A4B68C6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CE6CB6"/>
    <w:multiLevelType w:val="hybridMultilevel"/>
    <w:tmpl w:val="7F8EFBB0"/>
    <w:lvl w:ilvl="0" w:tplc="687832A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D94444"/>
    <w:multiLevelType w:val="hybridMultilevel"/>
    <w:tmpl w:val="B73883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512791C">
      <w:start w:val="1"/>
      <w:numFmt w:val="lowerLetter"/>
      <w:lvlText w:val="%2)"/>
      <w:lvlJc w:val="left"/>
      <w:pPr>
        <w:ind w:left="840" w:hanging="420"/>
      </w:pPr>
    </w:lvl>
    <w:lvl w:ilvl="2" w:tplc="A8BA94EC">
      <w:start w:val="1"/>
      <w:numFmt w:val="lowerRoman"/>
      <w:lvlText w:val="%3."/>
      <w:lvlJc w:val="right"/>
      <w:pPr>
        <w:ind w:left="1260" w:hanging="420"/>
      </w:pPr>
    </w:lvl>
    <w:lvl w:ilvl="3" w:tplc="A5E282FC">
      <w:start w:val="1"/>
      <w:numFmt w:val="decimal"/>
      <w:lvlText w:val="%4."/>
      <w:lvlJc w:val="left"/>
      <w:pPr>
        <w:ind w:left="1680" w:hanging="420"/>
      </w:pPr>
    </w:lvl>
    <w:lvl w:ilvl="4" w:tplc="60EA82C6">
      <w:start w:val="1"/>
      <w:numFmt w:val="lowerLetter"/>
      <w:lvlText w:val="%5)"/>
      <w:lvlJc w:val="left"/>
      <w:pPr>
        <w:ind w:left="2100" w:hanging="420"/>
      </w:pPr>
    </w:lvl>
    <w:lvl w:ilvl="5" w:tplc="8632AEB6">
      <w:start w:val="1"/>
      <w:numFmt w:val="lowerRoman"/>
      <w:lvlText w:val="%6."/>
      <w:lvlJc w:val="right"/>
      <w:pPr>
        <w:ind w:left="2520" w:hanging="420"/>
      </w:pPr>
    </w:lvl>
    <w:lvl w:ilvl="6" w:tplc="193A4D36">
      <w:start w:val="1"/>
      <w:numFmt w:val="decimal"/>
      <w:lvlText w:val="%7."/>
      <w:lvlJc w:val="left"/>
      <w:pPr>
        <w:ind w:left="2940" w:hanging="420"/>
      </w:pPr>
    </w:lvl>
    <w:lvl w:ilvl="7" w:tplc="A9CC7AA8">
      <w:start w:val="1"/>
      <w:numFmt w:val="lowerLetter"/>
      <w:lvlText w:val="%8)"/>
      <w:lvlJc w:val="left"/>
      <w:pPr>
        <w:ind w:left="3360" w:hanging="420"/>
      </w:pPr>
    </w:lvl>
    <w:lvl w:ilvl="8" w:tplc="18B66A64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9B472F"/>
    <w:multiLevelType w:val="hybridMultilevel"/>
    <w:tmpl w:val="7414A220"/>
    <w:lvl w:ilvl="0" w:tplc="B1B62590">
      <w:numFmt w:val="bullet"/>
      <w:lvlText w:val="-"/>
      <w:lvlJc w:val="left"/>
      <w:pPr>
        <w:ind w:left="3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10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yNjc2MjUyNDEwsTRU0lEKTi0uzszPAykwMq8FAOPj3zUtAAAA"/>
  </w:docVars>
  <w:rsids>
    <w:rsidRoot w:val="00F04A8E"/>
    <w:rsid w:val="0000109B"/>
    <w:rsid w:val="00006918"/>
    <w:rsid w:val="000074BC"/>
    <w:rsid w:val="00010995"/>
    <w:rsid w:val="00024468"/>
    <w:rsid w:val="00044899"/>
    <w:rsid w:val="00056BC7"/>
    <w:rsid w:val="0006596E"/>
    <w:rsid w:val="0006694B"/>
    <w:rsid w:val="00072F26"/>
    <w:rsid w:val="00075EB4"/>
    <w:rsid w:val="0007728A"/>
    <w:rsid w:val="00084DB8"/>
    <w:rsid w:val="00087E6F"/>
    <w:rsid w:val="000A7FEE"/>
    <w:rsid w:val="000C3198"/>
    <w:rsid w:val="000D0A2A"/>
    <w:rsid w:val="000E1673"/>
    <w:rsid w:val="000F6F22"/>
    <w:rsid w:val="000F71CC"/>
    <w:rsid w:val="0010470D"/>
    <w:rsid w:val="001208C3"/>
    <w:rsid w:val="001408CF"/>
    <w:rsid w:val="001459F6"/>
    <w:rsid w:val="0016077A"/>
    <w:rsid w:val="00167128"/>
    <w:rsid w:val="00194223"/>
    <w:rsid w:val="00195FA1"/>
    <w:rsid w:val="001A415B"/>
    <w:rsid w:val="001B0B59"/>
    <w:rsid w:val="001C3542"/>
    <w:rsid w:val="001C4255"/>
    <w:rsid w:val="001D3CBD"/>
    <w:rsid w:val="001E3E5D"/>
    <w:rsid w:val="001F0480"/>
    <w:rsid w:val="001F7521"/>
    <w:rsid w:val="00201E99"/>
    <w:rsid w:val="00205033"/>
    <w:rsid w:val="00242FED"/>
    <w:rsid w:val="00245ED3"/>
    <w:rsid w:val="00247605"/>
    <w:rsid w:val="002619F2"/>
    <w:rsid w:val="002629A9"/>
    <w:rsid w:val="00262D5B"/>
    <w:rsid w:val="00265ED0"/>
    <w:rsid w:val="00265F6E"/>
    <w:rsid w:val="00277885"/>
    <w:rsid w:val="002841DB"/>
    <w:rsid w:val="002B1B39"/>
    <w:rsid w:val="002B4964"/>
    <w:rsid w:val="002D7409"/>
    <w:rsid w:val="002F5F0C"/>
    <w:rsid w:val="002F650E"/>
    <w:rsid w:val="00317C90"/>
    <w:rsid w:val="003344F8"/>
    <w:rsid w:val="00336FCA"/>
    <w:rsid w:val="00346682"/>
    <w:rsid w:val="00364022"/>
    <w:rsid w:val="003644B6"/>
    <w:rsid w:val="00366EA3"/>
    <w:rsid w:val="003670CC"/>
    <w:rsid w:val="00371349"/>
    <w:rsid w:val="0037268D"/>
    <w:rsid w:val="00387333"/>
    <w:rsid w:val="00391618"/>
    <w:rsid w:val="003A4112"/>
    <w:rsid w:val="003A591F"/>
    <w:rsid w:val="003B1645"/>
    <w:rsid w:val="003C5DFC"/>
    <w:rsid w:val="003C6F06"/>
    <w:rsid w:val="003D0C1C"/>
    <w:rsid w:val="003F54F5"/>
    <w:rsid w:val="003F6EF5"/>
    <w:rsid w:val="00401B4A"/>
    <w:rsid w:val="0041034F"/>
    <w:rsid w:val="00410C56"/>
    <w:rsid w:val="004151B9"/>
    <w:rsid w:val="00417EF6"/>
    <w:rsid w:val="00426BD7"/>
    <w:rsid w:val="00464691"/>
    <w:rsid w:val="004708F7"/>
    <w:rsid w:val="004748E2"/>
    <w:rsid w:val="00475130"/>
    <w:rsid w:val="00480E09"/>
    <w:rsid w:val="004A6887"/>
    <w:rsid w:val="004A7066"/>
    <w:rsid w:val="004C7EAC"/>
    <w:rsid w:val="004D5B90"/>
    <w:rsid w:val="004F3CD2"/>
    <w:rsid w:val="004F6594"/>
    <w:rsid w:val="00513044"/>
    <w:rsid w:val="00521C1D"/>
    <w:rsid w:val="00523E26"/>
    <w:rsid w:val="0052448A"/>
    <w:rsid w:val="0053069F"/>
    <w:rsid w:val="00540C3F"/>
    <w:rsid w:val="00541983"/>
    <w:rsid w:val="005423BA"/>
    <w:rsid w:val="00544984"/>
    <w:rsid w:val="00550DB3"/>
    <w:rsid w:val="00555C54"/>
    <w:rsid w:val="00563DA7"/>
    <w:rsid w:val="00565B6C"/>
    <w:rsid w:val="00581B4C"/>
    <w:rsid w:val="00582530"/>
    <w:rsid w:val="00590FDA"/>
    <w:rsid w:val="00595E86"/>
    <w:rsid w:val="005A29C9"/>
    <w:rsid w:val="005A6316"/>
    <w:rsid w:val="005B4077"/>
    <w:rsid w:val="005C3DAD"/>
    <w:rsid w:val="005D1EAB"/>
    <w:rsid w:val="005D3493"/>
    <w:rsid w:val="005D448E"/>
    <w:rsid w:val="005E208F"/>
    <w:rsid w:val="005E6CD6"/>
    <w:rsid w:val="005F0A72"/>
    <w:rsid w:val="00600D62"/>
    <w:rsid w:val="00604EBC"/>
    <w:rsid w:val="006201EB"/>
    <w:rsid w:val="00624211"/>
    <w:rsid w:val="006275D6"/>
    <w:rsid w:val="0064114D"/>
    <w:rsid w:val="006426ED"/>
    <w:rsid w:val="006527A2"/>
    <w:rsid w:val="00656594"/>
    <w:rsid w:val="00661FA9"/>
    <w:rsid w:val="00674340"/>
    <w:rsid w:val="006A4813"/>
    <w:rsid w:val="006B18D7"/>
    <w:rsid w:val="006B7393"/>
    <w:rsid w:val="006C698F"/>
    <w:rsid w:val="006D6AAF"/>
    <w:rsid w:val="006E434D"/>
    <w:rsid w:val="00711431"/>
    <w:rsid w:val="0073022E"/>
    <w:rsid w:val="00731565"/>
    <w:rsid w:val="00734815"/>
    <w:rsid w:val="00741D48"/>
    <w:rsid w:val="007536F0"/>
    <w:rsid w:val="00764A20"/>
    <w:rsid w:val="00773996"/>
    <w:rsid w:val="007760B8"/>
    <w:rsid w:val="0077767A"/>
    <w:rsid w:val="00781856"/>
    <w:rsid w:val="00786199"/>
    <w:rsid w:val="00792EE8"/>
    <w:rsid w:val="007A2A9E"/>
    <w:rsid w:val="007A640B"/>
    <w:rsid w:val="007A7E4F"/>
    <w:rsid w:val="007B06A5"/>
    <w:rsid w:val="007B40B4"/>
    <w:rsid w:val="007B4870"/>
    <w:rsid w:val="007B72DA"/>
    <w:rsid w:val="007C2D53"/>
    <w:rsid w:val="007C7BB2"/>
    <w:rsid w:val="007D050E"/>
    <w:rsid w:val="007E53FE"/>
    <w:rsid w:val="00800DA8"/>
    <w:rsid w:val="00801EB4"/>
    <w:rsid w:val="00817B3C"/>
    <w:rsid w:val="00840173"/>
    <w:rsid w:val="00845A91"/>
    <w:rsid w:val="00846372"/>
    <w:rsid w:val="00853008"/>
    <w:rsid w:val="00857460"/>
    <w:rsid w:val="00864987"/>
    <w:rsid w:val="00864D1C"/>
    <w:rsid w:val="00885718"/>
    <w:rsid w:val="00890D2F"/>
    <w:rsid w:val="008911A5"/>
    <w:rsid w:val="00896B55"/>
    <w:rsid w:val="008A3BD0"/>
    <w:rsid w:val="008A4A46"/>
    <w:rsid w:val="008A51E6"/>
    <w:rsid w:val="008A6689"/>
    <w:rsid w:val="008B06B8"/>
    <w:rsid w:val="008B54F0"/>
    <w:rsid w:val="008C04DC"/>
    <w:rsid w:val="008C19FA"/>
    <w:rsid w:val="008C3575"/>
    <w:rsid w:val="008C6E7D"/>
    <w:rsid w:val="008C78D3"/>
    <w:rsid w:val="008D1A2E"/>
    <w:rsid w:val="008D3DC8"/>
    <w:rsid w:val="008D5C0B"/>
    <w:rsid w:val="00901F50"/>
    <w:rsid w:val="009027B1"/>
    <w:rsid w:val="0090329E"/>
    <w:rsid w:val="009038CE"/>
    <w:rsid w:val="009043FD"/>
    <w:rsid w:val="009058E7"/>
    <w:rsid w:val="00925BA2"/>
    <w:rsid w:val="00925BDB"/>
    <w:rsid w:val="00936053"/>
    <w:rsid w:val="00941F3B"/>
    <w:rsid w:val="009420AD"/>
    <w:rsid w:val="00943BD3"/>
    <w:rsid w:val="00953A34"/>
    <w:rsid w:val="00956FE4"/>
    <w:rsid w:val="009571DB"/>
    <w:rsid w:val="00973A29"/>
    <w:rsid w:val="00984064"/>
    <w:rsid w:val="00994228"/>
    <w:rsid w:val="009A64E4"/>
    <w:rsid w:val="009B2090"/>
    <w:rsid w:val="009B3070"/>
    <w:rsid w:val="009C3F3F"/>
    <w:rsid w:val="009C4AF0"/>
    <w:rsid w:val="009D0C09"/>
    <w:rsid w:val="009D3305"/>
    <w:rsid w:val="00A04813"/>
    <w:rsid w:val="00A152A7"/>
    <w:rsid w:val="00A16A25"/>
    <w:rsid w:val="00A16D90"/>
    <w:rsid w:val="00A207F0"/>
    <w:rsid w:val="00A30246"/>
    <w:rsid w:val="00A35B72"/>
    <w:rsid w:val="00A4257D"/>
    <w:rsid w:val="00A42EEF"/>
    <w:rsid w:val="00A43AB2"/>
    <w:rsid w:val="00A76DDD"/>
    <w:rsid w:val="00A812E2"/>
    <w:rsid w:val="00A83E02"/>
    <w:rsid w:val="00AA043D"/>
    <w:rsid w:val="00AA31F6"/>
    <w:rsid w:val="00AB0BA6"/>
    <w:rsid w:val="00AB3EEB"/>
    <w:rsid w:val="00AC7F16"/>
    <w:rsid w:val="00AD0371"/>
    <w:rsid w:val="00AD2B4B"/>
    <w:rsid w:val="00AE0C5E"/>
    <w:rsid w:val="00AE5347"/>
    <w:rsid w:val="00AF3362"/>
    <w:rsid w:val="00AF4307"/>
    <w:rsid w:val="00AF6A35"/>
    <w:rsid w:val="00B00B86"/>
    <w:rsid w:val="00B03DC7"/>
    <w:rsid w:val="00B0727C"/>
    <w:rsid w:val="00B12286"/>
    <w:rsid w:val="00B1449A"/>
    <w:rsid w:val="00B1679A"/>
    <w:rsid w:val="00B30882"/>
    <w:rsid w:val="00B359F8"/>
    <w:rsid w:val="00B40269"/>
    <w:rsid w:val="00B45F61"/>
    <w:rsid w:val="00B571A5"/>
    <w:rsid w:val="00B618BD"/>
    <w:rsid w:val="00B627E0"/>
    <w:rsid w:val="00B67DEA"/>
    <w:rsid w:val="00B76116"/>
    <w:rsid w:val="00B76454"/>
    <w:rsid w:val="00B80C50"/>
    <w:rsid w:val="00BA0A26"/>
    <w:rsid w:val="00BC0286"/>
    <w:rsid w:val="00BC6429"/>
    <w:rsid w:val="00BD054B"/>
    <w:rsid w:val="00BD3CB8"/>
    <w:rsid w:val="00BD5DE1"/>
    <w:rsid w:val="00BD68A9"/>
    <w:rsid w:val="00BE6459"/>
    <w:rsid w:val="00BF0E49"/>
    <w:rsid w:val="00C027D9"/>
    <w:rsid w:val="00C10B11"/>
    <w:rsid w:val="00C12683"/>
    <w:rsid w:val="00C12AE0"/>
    <w:rsid w:val="00C1393D"/>
    <w:rsid w:val="00C155DA"/>
    <w:rsid w:val="00C16BEF"/>
    <w:rsid w:val="00C25C38"/>
    <w:rsid w:val="00C31F08"/>
    <w:rsid w:val="00C3240C"/>
    <w:rsid w:val="00C33B8D"/>
    <w:rsid w:val="00C34210"/>
    <w:rsid w:val="00C461CF"/>
    <w:rsid w:val="00C6355F"/>
    <w:rsid w:val="00C63E15"/>
    <w:rsid w:val="00C70817"/>
    <w:rsid w:val="00C762D4"/>
    <w:rsid w:val="00C801F4"/>
    <w:rsid w:val="00C855E1"/>
    <w:rsid w:val="00C977D0"/>
    <w:rsid w:val="00CA6A3D"/>
    <w:rsid w:val="00CB428A"/>
    <w:rsid w:val="00CC2088"/>
    <w:rsid w:val="00CC27C0"/>
    <w:rsid w:val="00CD04EC"/>
    <w:rsid w:val="00CD77AA"/>
    <w:rsid w:val="00CF38B9"/>
    <w:rsid w:val="00D03241"/>
    <w:rsid w:val="00D12E7C"/>
    <w:rsid w:val="00D232A7"/>
    <w:rsid w:val="00D54A28"/>
    <w:rsid w:val="00D57B46"/>
    <w:rsid w:val="00D622DB"/>
    <w:rsid w:val="00D6246F"/>
    <w:rsid w:val="00D6354C"/>
    <w:rsid w:val="00D720BB"/>
    <w:rsid w:val="00D819C7"/>
    <w:rsid w:val="00D95263"/>
    <w:rsid w:val="00D96172"/>
    <w:rsid w:val="00DA5611"/>
    <w:rsid w:val="00DB43E3"/>
    <w:rsid w:val="00DC4BE7"/>
    <w:rsid w:val="00DD0457"/>
    <w:rsid w:val="00DF4387"/>
    <w:rsid w:val="00E00127"/>
    <w:rsid w:val="00E05881"/>
    <w:rsid w:val="00E07904"/>
    <w:rsid w:val="00E11C13"/>
    <w:rsid w:val="00E12066"/>
    <w:rsid w:val="00E139D9"/>
    <w:rsid w:val="00E32D5A"/>
    <w:rsid w:val="00E411E2"/>
    <w:rsid w:val="00E52568"/>
    <w:rsid w:val="00E54DF9"/>
    <w:rsid w:val="00E56070"/>
    <w:rsid w:val="00E56977"/>
    <w:rsid w:val="00E57AF8"/>
    <w:rsid w:val="00E62BAD"/>
    <w:rsid w:val="00E62BE7"/>
    <w:rsid w:val="00E8056B"/>
    <w:rsid w:val="00E84296"/>
    <w:rsid w:val="00E85DC0"/>
    <w:rsid w:val="00E9221D"/>
    <w:rsid w:val="00E93A82"/>
    <w:rsid w:val="00EA193D"/>
    <w:rsid w:val="00EA56F7"/>
    <w:rsid w:val="00EA5EAD"/>
    <w:rsid w:val="00EB338E"/>
    <w:rsid w:val="00EC5826"/>
    <w:rsid w:val="00ED34B3"/>
    <w:rsid w:val="00ED3CA7"/>
    <w:rsid w:val="00ED709F"/>
    <w:rsid w:val="00EE1AD2"/>
    <w:rsid w:val="00EE46C2"/>
    <w:rsid w:val="00EF3EBF"/>
    <w:rsid w:val="00EF4495"/>
    <w:rsid w:val="00EF51A8"/>
    <w:rsid w:val="00F01AC1"/>
    <w:rsid w:val="00F03811"/>
    <w:rsid w:val="00F03E2A"/>
    <w:rsid w:val="00F04A8E"/>
    <w:rsid w:val="00F10EFF"/>
    <w:rsid w:val="00F13275"/>
    <w:rsid w:val="00F23A68"/>
    <w:rsid w:val="00F3267E"/>
    <w:rsid w:val="00F3547A"/>
    <w:rsid w:val="00F5380B"/>
    <w:rsid w:val="00F75713"/>
    <w:rsid w:val="00FD129A"/>
    <w:rsid w:val="00FD1876"/>
    <w:rsid w:val="00FD3D73"/>
    <w:rsid w:val="00FE2BDF"/>
    <w:rsid w:val="00FF00D2"/>
    <w:rsid w:val="00FF1B91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0A4718"/>
  <w14:defaultImageDpi w14:val="32767"/>
  <w15:chartTrackingRefBased/>
  <w15:docId w15:val="{A88C95F9-1C4B-4BEA-B9BD-614D4655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01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0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D3305"/>
    <w:pPr>
      <w:keepNext/>
      <w:keepLines/>
      <w:spacing w:before="260" w:after="260" w:line="416" w:lineRule="auto"/>
      <w:outlineLvl w:val="1"/>
    </w:pPr>
    <w:rPr>
      <w:rFonts w:asciiTheme="minorEastAsia" w:eastAsia="Times New Roman" w:hAnsiTheme="minorEastAs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3305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hAnsi="Times New Roman" w:cs="Times New Roman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D3305"/>
    <w:rPr>
      <w:rFonts w:asciiTheme="minorEastAsia" w:eastAsia="Times New Roman" w:hAnsiTheme="minorEastAs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3305"/>
    <w:rPr>
      <w:rFonts w:ascii="Times New Roman" w:hAnsi="Times New Roman" w:cs="Times New Roman"/>
      <w:b/>
      <w:bCs/>
      <w:sz w:val="30"/>
      <w:szCs w:val="32"/>
    </w:rPr>
  </w:style>
  <w:style w:type="character" w:styleId="a3">
    <w:name w:val="Hyperlink"/>
    <w:basedOn w:val="a0"/>
    <w:uiPriority w:val="99"/>
    <w:unhideWhenUsed/>
    <w:rsid w:val="00F04A8E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96B55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896B55"/>
  </w:style>
  <w:style w:type="paragraph" w:styleId="a6">
    <w:name w:val="footer"/>
    <w:basedOn w:val="a"/>
    <w:link w:val="a7"/>
    <w:uiPriority w:val="99"/>
    <w:unhideWhenUsed/>
    <w:rsid w:val="00896B55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896B55"/>
  </w:style>
  <w:style w:type="paragraph" w:customStyle="1" w:styleId="TAMainText">
    <w:name w:val="TA_Main_Text"/>
    <w:basedOn w:val="a"/>
    <w:rsid w:val="00BE6459"/>
    <w:pPr>
      <w:widowControl/>
      <w:spacing w:line="480" w:lineRule="auto"/>
      <w:ind w:firstLine="202"/>
    </w:pPr>
    <w:rPr>
      <w:rFonts w:ascii="Times" w:eastAsia="宋体" w:hAnsi="Times" w:cs="Times New Roman"/>
      <w:kern w:val="0"/>
      <w:sz w:val="22"/>
      <w:szCs w:val="20"/>
      <w:lang w:eastAsia="en-US"/>
    </w:rPr>
  </w:style>
  <w:style w:type="table" w:styleId="a8">
    <w:name w:val="Table Grid"/>
    <w:basedOn w:val="a1"/>
    <w:uiPriority w:val="39"/>
    <w:rsid w:val="001E3E5D"/>
    <w:rPr>
      <w:rFonts w:ascii="Times New Roman" w:hAnsi="Times New Roman" w:cs="Times New Roman"/>
      <w:kern w:val="0"/>
      <w:sz w:val="18"/>
      <w:szCs w:val="1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处理的提及1"/>
    <w:basedOn w:val="a0"/>
    <w:uiPriority w:val="99"/>
    <w:semiHidden/>
    <w:unhideWhenUsed/>
    <w:rsid w:val="0052448A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417EF6"/>
    <w:rPr>
      <w:color w:val="808080"/>
    </w:rPr>
  </w:style>
  <w:style w:type="paragraph" w:customStyle="1" w:styleId="BATitle">
    <w:name w:val="BA_Title"/>
    <w:basedOn w:val="a"/>
    <w:next w:val="a"/>
    <w:rsid w:val="005A29C9"/>
    <w:pPr>
      <w:widowControl/>
      <w:spacing w:before="720" w:after="360" w:line="480" w:lineRule="auto"/>
      <w:ind w:firstLine="202"/>
      <w:jc w:val="center"/>
    </w:pPr>
    <w:rPr>
      <w:rFonts w:ascii="Times New Roman" w:eastAsia="宋体" w:hAnsi="Times New Roman" w:cs="Times New Roman"/>
      <w:kern w:val="0"/>
      <w:sz w:val="44"/>
      <w:szCs w:val="20"/>
      <w:lang w:eastAsia="en-US"/>
    </w:rPr>
  </w:style>
  <w:style w:type="paragraph" w:styleId="aa">
    <w:name w:val="List Paragraph"/>
    <w:basedOn w:val="a"/>
    <w:uiPriority w:val="34"/>
    <w:qFormat/>
    <w:rsid w:val="00E9221D"/>
    <w:pPr>
      <w:ind w:firstLineChars="200" w:firstLine="420"/>
    </w:pPr>
  </w:style>
  <w:style w:type="paragraph" w:customStyle="1" w:styleId="EndNoteBibliography">
    <w:name w:val="EndNote Bibliography"/>
    <w:basedOn w:val="a"/>
    <w:link w:val="EndNoteBibliography0"/>
    <w:rsid w:val="00DB43E3"/>
    <w:rPr>
      <w:rFonts w:ascii="Times New Roman" w:hAnsi="Times New Roman" w:cs="Times New Roman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DB43E3"/>
    <w:rPr>
      <w:rFonts w:ascii="Times New Roman" w:hAnsi="Times New Roman" w:cs="Times New Roman"/>
      <w:noProof/>
      <w:sz w:val="20"/>
    </w:rPr>
  </w:style>
  <w:style w:type="character" w:customStyle="1" w:styleId="10">
    <w:name w:val="标题 1 字符"/>
    <w:basedOn w:val="a0"/>
    <w:link w:val="1"/>
    <w:uiPriority w:val="9"/>
    <w:rsid w:val="00CC20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D9984-56F1-4526-B332-38EE5D66D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JING</dc:creator>
  <cp:keywords/>
  <dc:description/>
  <cp:lastModifiedBy>Yang Liu</cp:lastModifiedBy>
  <cp:revision>3</cp:revision>
  <dcterms:created xsi:type="dcterms:W3CDTF">2023-08-21T01:35:00Z</dcterms:created>
  <dcterms:modified xsi:type="dcterms:W3CDTF">2023-08-21T01:43:00Z</dcterms:modified>
</cp:coreProperties>
</file>