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pdf" ContentType="application/pdf"/>
  <Override PartName="/word/media/rId26.pdf" ContentType="application/pdf"/>
  <Override PartName="/word/media/rId32.pdf" ContentType="application/pdf"/>
  <Override PartName="/word/media/image1.emf" ContentType="image/x-emf"/>
  <Override PartName="/word/media/image10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Boundary-Constrained Rare-Fault Triggering for Short-Horizon Hoister Fault-State Prediction</w:t>
      </w:r>
    </w:p>
    <w:p>
      <w:pPr>
        <w:pStyle w:val="FirstParagraph"/>
      </w:pPr>
      <w:r>
        <w:rPr>
          <w:b/>
          <w:bCs/>
        </w:rPr>
        <w:t xml:space="preserve">Abstract—</w:t>
      </w:r>
      <w:r>
        <w:t xml:space="preserve"> </w:t>
      </w:r>
      <w:r>
        <w:t xml:space="preserve">Industrial hoisting systems need short-horizon state prediction before rare degradation becomes critical. In a private hoister overspeed dataset, standard time-series classifiers achieve high accuracy while missing the rare second-level degradation state. We formulate one-step future-state classification and propose SGTONetV6, which decouples conservative multiclass prediction from a calibrated rare-fault trigger constrained by transition boundaries and precursor states. On 27 files with 37,417 timestamps, SGTONetV6 achieves the best macro-F1 among tested models and recovers class 9 with F1 0.5556, while DLinear, TimesNet, iTransformer, PatchTST, and a conservative SGTO baseline all obtain class-9 F1 of 0.0000. Ablations show that rare override, boundary constraint, fallback thresholding, and patch-attentive rare context are necessary. The evidence supports short-horizon rare-fault recovery rather than broad multi-horizon superiority.</w:t>
      </w:r>
    </w:p>
    <w:p>
      <w:pPr>
        <w:pStyle w:val="BodyText"/>
      </w:pPr>
      <w:r>
        <w:rPr>
          <w:b/>
          <w:bCs/>
        </w:rPr>
        <w:t xml:space="preserve">Keywords—</w:t>
      </w:r>
      <w:r>
        <w:t xml:space="preserve"> </w:t>
      </w:r>
      <w:r>
        <w:t xml:space="preserve">hoisting system, overspeed fault, future-state classification, rare fault prediction, industrial time series.</w:t>
      </w:r>
    </w:p>
    <w:bookmarkStart w:id="1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Industrial hoisting systems are safety-critical assets, and overspeed degradation should be recognized before the fault state becomes unrecoverable. This digest studies a fixed-horizon future-state classification setting: given a current multivariate sensor window, predict the state label one step ahead. The task is difficult because the critical second-level degradation state is extremely rare. In the studied dataset, class 9 has only 185 timestamps out of 37,417, so high overall accuracy can coexist with complete rare-state collapse.</w:t>
      </w:r>
    </w:p>
    <w:p>
      <w:pPr>
        <w:pStyle w:val="BodyText"/>
      </w:pPr>
      <w:r>
        <w:t xml:space="preserve">This failure mode appears in strong time-series classifiers. As shown later, DLinear, TimesNet, iTransformer, PatchTST, and a conservative SGTO baseline all obtain zero class-9 F1 under the same file-level split protocol. The main objective is therefore not simply to maximize accuracy. It is to recover the rare degradation state while keeping common-state predictions controlled.</w:t>
      </w:r>
    </w:p>
    <w:p>
      <w:pPr>
        <w:pStyle w:val="BodyText"/>
      </w:pPr>
      <w:r>
        <w:t xml:space="preserve">The contribution is SGTONetV6, a shift-aware graph and trigger oriented network for short-horizon hoister state prediction. SGTONetV6 separates conservative multiclass classification from a rare-fault trigger. The trigger can override the base classifier only when its rare score exceeds a calibrated threshold and the sample satisfies transition-boundary and precursor-state constraints. This design targets the boundary region where the future label changes before the full sensor window looks like the future state.</w:t>
      </w:r>
    </w:p>
    <w:bookmarkEnd w:id="19"/>
    <w:bookmarkStart w:id="24" w:name="task-and-method"/>
    <w:p>
      <w:pPr>
        <w:pStyle w:val="Heading1"/>
      </w:pPr>
      <w:r>
        <w:t xml:space="preserve">Task and Method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 the multivariate sensor vector at time</w:t>
      </w:r>
      <w:r>
        <w:t xml:space="preserve"> </w:t>
      </w:r>
      <m:oMath>
        <m:r>
          <m:t>t</m:t>
        </m:r>
      </m:oMath>
      <w:r>
        <w:t xml:space="preserve">. For a window length</w:t>
      </w:r>
      <w:r>
        <w:t xml:space="preserve"> </w:t>
      </w:r>
      <m:oMath>
        <m:r>
          <m:t>L</m:t>
        </m:r>
      </m:oMath>
      <w:r>
        <w:t xml:space="preserve">, the input is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, and the target is the future label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</m:sub>
        </m:sSub>
      </m:oMath>
      <w:r>
        <w:t xml:space="preserve">. The digest focuses on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</m:oMath>
      <w:r>
        <w:t xml:space="preserve">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and a window step of 8. Labels are from 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 representing stop, normal operation, first-level degradation, second-level degradation, and fault occurrence. The binary direct-fault indicator is dropped from the input to avoid leakage.</w:t>
      </w:r>
    </w:p>
    <w:p>
      <w:pPr>
        <w:pStyle w:val="BodyText"/>
      </w:pPr>
      <w:r>
        <w:t xml:space="preserve">Fig. </w:t>
      </w:r>
      <w:hyperlink w:anchor="fig:method_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SGTONetV6. A patch temporal encoder feeds a conservative future-state classifier and a rare-trigger branch. The rare branch computes patch-attentive context because rare degradation evidence can appear in only a short part of the input. At inference, the final decision follows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9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is the rare score,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calibrated threshold,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boundary flag, and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current state. This rule prevents the rare trigger from firing globally and makes the method different from using only a class-weighted loss or a larger backbone.</w:t>
      </w:r>
    </w:p>
    <w:bookmarkStart w:id="23" w:name="fig:method_overview"/>
    <w:p>
      <w:pPr>
        <w:pStyle w:val="CaptionedFigure"/>
      </w:pPr>
      <w:r>
        <w:drawing>
          <wp:inline>
            <wp:extent cx="5767070" cy="246848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0_method_overview.pdf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70" cy="2468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SGTONetV6 decouples conservative future-state classification from a calibrated rare-fault trigger constrained by boundary and precursor semantics.</w:t>
      </w:r>
    </w:p>
    <w:bookmarkEnd w:id="23"/>
    <w:bookmarkEnd w:id="24"/>
    <w:bookmarkStart w:id="30" w:name="experiments"/>
    <w:p>
      <w:pPr>
        <w:pStyle w:val="Heading1"/>
      </w:pPr>
      <w:r>
        <w:t xml:space="preserve">Experiments</w:t>
      </w:r>
    </w:p>
    <w:p>
      <w:pPr>
        <w:pStyle w:val="FirstParagraph"/>
      </w:pPr>
      <w:r>
        <w:t xml:space="preserve">The dataset contains 27 files, 37,417 timestamps sampled every 4 seconds, and five state labels. The class counts are 10,959 for stop, 15,695 for normal operation, 5,364 for first-level degradation, 185 for second-level degradation, and 5,214 for fault occurrence. Evaluation uses file-level train/validation/test splits with split seeds 14, 22, and 30. The primary metrics are macro-F1, balanced accuracy, fault macro-F1, and class-9 precision/recall/F1.</w:t>
      </w:r>
    </w:p>
    <w:bookmarkStart w:id="25" w:name="tab:main"/>
    <w:p>
      <w:pPr>
        <w:pStyle w:val="TableCaption"/>
      </w:pPr>
      <w:r>
        <w:t xml:space="preserve">Main comparison on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future-state classification task. Values are three-split means.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in comparison on the \Delta=1 future-state classification task. Values are three-split mean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Fault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C9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SGTONetV6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PatchTST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SGTONetV4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bookmarkEnd w:id="25"/>
    <w:p>
      <w:pPr>
        <w:pStyle w:val="BodyText"/>
      </w:pPr>
      <w:r>
        <w:t xml:space="preserve">Table </w:t>
      </w:r>
      <w:hyperlink w:anchor="tab:mai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that SGTONetV6 has the best macro-F1 and fault macro-F1 among the tested models, but not the best accuracy. This is expected: the method is optimized for rare-fault recovery rather than top-line accuracy. iTransformer has the highest accuracy, yet its class-9 F1 is zero. Fig. </w:t>
      </w:r>
      <w:hyperlink w:anchor="fig:class9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isolates this rare-class behavior.</w:t>
      </w:r>
    </w:p>
    <w:bookmarkStart w:id="29" w:name="fig:class9"/>
    <w:p>
      <w:pPr>
        <w:pStyle w:val="CaptionedFigure"/>
      </w:pPr>
      <w:r>
        <w:drawing>
          <wp:inline>
            <wp:extent cx="5463540" cy="263842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2_class9_prf1.pdf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638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Class-9 precision, recall, and F1. Baselines collapse to zero class-9 F1, while SGTONetV6 recovers the rare degradation state.</w:t>
      </w:r>
    </w:p>
    <w:bookmarkEnd w:id="29"/>
    <w:bookmarkEnd w:id="30"/>
    <w:bookmarkStart w:id="36" w:name="ablation-and-scope"/>
    <w:p>
      <w:pPr>
        <w:pStyle w:val="Heading1"/>
      </w:pPr>
      <w:r>
        <w:t xml:space="preserve">Ablation and Scope</w:t>
      </w:r>
    </w:p>
    <w:bookmarkStart w:id="31" w:name="tab:ablation"/>
    <w:p>
      <w:pPr>
        <w:pStyle w:val="TableCaption"/>
      </w:pPr>
      <w:r>
        <w:t xml:space="preserve">SGTONetV6 ablation results on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GTONetV6 ablation results on \Delta=1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C9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SGTONetV6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precursor constraint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rare 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fallback 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rare override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boundary constraint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</w:t>
            </w:r>
          </w:p>
        </w:tc>
      </w:tr>
    </w:tbl>
    <w:bookmarkEnd w:id="31"/>
    <w:p>
      <w:pPr>
        <w:pStyle w:val="BodyText"/>
      </w:pPr>
      <w:r>
        <w:t xml:space="preserve">Table </w:t>
      </w:r>
      <w:hyperlink w:anchor="tab:ablat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supports the mechanism. Removing rare override collapses class-9 F1 to zero, which means the conservative base classifier alone does not solve rare-state recovery. Removing the boundary constraint causes uncontrolled triggering and reduces class-9 F1 to 0.0158. Replacing patch-attentive rare context with mean context also weakens rare recovery, indicating that local evidence inside the window matters.</w:t>
      </w:r>
    </w:p>
    <w:bookmarkStart w:id="35" w:name="fig:ablation"/>
    <w:p>
      <w:pPr>
        <w:pStyle w:val="CaptionedFigure"/>
      </w:pPr>
      <w:r>
        <w:drawing>
          <wp:inline>
            <wp:extent cx="5463540" cy="270065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3_ablation.pdf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7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Ablation study. Rare override, boundary constraint, fallback thresholding, and patch-attentive context all contribute to rare-fault recovery.</w:t>
      </w:r>
    </w:p>
    <w:bookmarkEnd w:id="35"/>
    <w:p>
      <w:pPr>
        <w:pStyle w:val="BodyText"/>
      </w:pPr>
      <w:r>
        <w:t xml:space="preserve">The current result should be scoped carefully. At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3</m:t>
        </m:r>
      </m:oMath>
      <w:r>
        <w:t xml:space="preserve">, PatchTST reaches macro-F1 0.5877 and class-9 F1 0.1919, while SGTONetV6 reaches macro-F1 0.5006 and class-9 F1 0.1070. Thus, the current configuration supports short-horizon rare-fault recovery, not general multi-horizon superiority.</w:t>
      </w:r>
    </w:p>
    <w:bookmarkEnd w:id="36"/>
    <w:bookmarkStart w:id="37" w:name="conclusions-and-future-works"/>
    <w:p>
      <w:pPr>
        <w:pStyle w:val="Heading1"/>
      </w:pPr>
      <w:r>
        <w:t xml:space="preserve">Conclusions and Future Works</w:t>
      </w:r>
    </w:p>
    <w:p>
      <w:pPr>
        <w:pStyle w:val="FirstParagraph"/>
      </w:pPr>
      <w:r>
        <w:t xml:space="preserve">This digest identifies rare-boundary collapse as a practical failure mode in short-horizon hoister fault-state prediction. SGTONetV6 addresses it by combining conservative multiclass prediction with a boundary-constrained rare-fault trigger. On the studied industrial dataset, the method recovers class 9 with F1 0.5556 while tested baselines obtain zero class-9 F1. Future work will validate the method on additional industrial assets, improve horizon-specific trigger calibration, and evaluate deployment-level false-alarm costs.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H. Wu, T. Hu, Y. Liu, H. Zhou, J. Wang, and M. Long,</w:t>
      </w:r>
      <w:r>
        <w:t xml:space="preserve"> </w:t>
      </w:r>
      <w:r>
        <w:t xml:space="preserve">“TimesNet: Temporal 2D-variation modeling for general time series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2023.</w:t>
      </w:r>
    </w:p>
    <w:p>
      <w:pPr>
        <w:pStyle w:val="BodyText"/>
      </w:pPr>
      <w:r>
        <w:t xml:space="preserve">Y. Liu, T. Hu, H. Zhang, H. Wu, S. Wang, L. Ma, and M. Long,</w:t>
      </w:r>
      <w:r>
        <w:t xml:space="preserve"> </w:t>
      </w:r>
      <w:r>
        <w:t xml:space="preserve">“iTransformer: Inverted transformers are effective for time series forecasting,”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2024.</w:t>
      </w:r>
    </w:p>
    <w:p>
      <w:pPr>
        <w:pStyle w:val="BodyText"/>
      </w:pPr>
      <w:r>
        <w:t xml:space="preserve">Y. Nie, N. H. Nguyen, P. Sinthong, and J. Kalagnanam,</w:t>
      </w:r>
      <w:r>
        <w:t xml:space="preserve"> </w:t>
      </w:r>
      <w:r>
        <w:t xml:space="preserve">“A time series is worth 64 words: Long-term forecasting with transformers,”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2023.</w:t>
      </w:r>
    </w:p>
    <w:p>
      <w:pPr>
        <w:pStyle w:val="BodyText"/>
      </w:pPr>
      <w:r>
        <w:t xml:space="preserve">A. Zeng, M. Chen, L. Zhang, and Q. Xu,</w:t>
      </w:r>
      <w:r>
        <w:t xml:space="preserve"> </w:t>
      </w:r>
      <w:r>
        <w:t xml:space="preserve">“Are transformers effective for time series forecasting?”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AAAI</w:t>
      </w:r>
      <w:r>
        <w:t xml:space="preserve">, 2023.</w:t>
      </w:r>
    </w:p>
    <w:bookmarkEnd w:id="37"/>
    <w:sectPr w:rsidR="00BD563E" w:rsidSect="00412725">
      <w:footerReference r:id="rId10" w:type="default"/>
      <w:type w:val="continuous"/>
      <w:pgSz w:h="15840" w:w="12240"/>
      <w:pgMar w:bottom="278" w:footer="550" w:gutter="0" w:header="720" w:left="1338" w:right="1338" w:top="136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2"/>
        <w:szCs w:val="22"/>
      </w:rPr>
      <w:id w:val="72596199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2"/>
            <w:szCs w:val="22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BDEFC94" w14:textId="34C35640" w:rsidR="00E5122E" w:rsidRPr="00FB6966" w:rsidRDefault="00E5122E" w:rsidP="00E5122E">
            <w:pPr>
              <w:pStyle w:val="Footer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B6966">
              <w:rPr>
                <w:rFonts w:ascii="Times New Roman" w:hAnsi="Times New Roman" w:cs="Times New Roman"/>
                <w:sz w:val="22"/>
                <w:szCs w:val="22"/>
              </w:rPr>
              <w:t xml:space="preserve">Page 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PAGE </w:instrTex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2353E9" w:rsidRPr="00FB6966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4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  <w:r w:rsidRPr="00FB6966">
              <w:rPr>
                <w:rFonts w:ascii="Times New Roman" w:hAnsi="Times New Roman" w:cs="Times New Roman"/>
                <w:sz w:val="22"/>
                <w:szCs w:val="22"/>
              </w:rPr>
              <w:t xml:space="preserve"> of 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begin"/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instrText xml:space="preserve"> NUMPAGES  </w:instrTex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separate"/>
            </w:r>
            <w:r w:rsidR="002353E9" w:rsidRPr="00FB6966">
              <w:rPr>
                <w:rFonts w:ascii="Times New Roman" w:hAnsi="Times New Roman" w:cs="Times New Roman"/>
                <w:bCs/>
                <w:noProof/>
                <w:sz w:val="22"/>
                <w:szCs w:val="22"/>
              </w:rPr>
              <w:t>5</w:t>
            </w:r>
            <w:r w:rsidRPr="00FB6966">
              <w:rPr>
                <w:rFonts w:ascii="Times New Roman" w:hAnsi="Times New Roman" w:cs="Times New Roman"/>
                <w:bCs/>
                <w:sz w:val="22"/>
                <w:szCs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7D93E38"/>
    <w:multiLevelType w:val="hybridMultilevel"/>
    <w:tmpl w:val="63EA725C"/>
    <w:lvl w:ilvl="0" w:tplc="A8B8076A">
      <w:start w:val="1"/>
      <w:numFmt w:val="bullet"/>
      <w:lvlText w:val="•"/>
      <w:lvlJc w:val="left"/>
      <w:pPr>
        <w:ind w:hanging="360" w:left="1004"/>
      </w:pPr>
      <w:rPr>
        <w:rFonts w:hint="default"/>
      </w:rPr>
    </w:lvl>
    <w:lvl w:ilvl="1" w:tentative="1" w:tplc="0410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15:restartNumberingAfterBreak="0" w:abstractNumId="1">
    <w:nsid w:val="525A1E82"/>
    <w:multiLevelType w:val="hybridMultilevel"/>
    <w:tmpl w:val="92B801B6"/>
    <w:lvl w:ilvl="0" w:tplc="1D129410">
      <w:start w:val="1"/>
      <w:numFmt w:val="upperRoman"/>
      <w:lvlText w:val="%1."/>
      <w:lvlJc w:val="left"/>
      <w:pPr>
        <w:ind w:hanging="720" w:left="822"/>
      </w:pPr>
      <w:rPr>
        <w:rFonts w:hint="default"/>
      </w:rPr>
    </w:lvl>
    <w:lvl w:ilvl="1" w:tentative="1" w:tplc="04100019">
      <w:start w:val="1"/>
      <w:numFmt w:val="lowerLetter"/>
      <w:lvlText w:val="%2."/>
      <w:lvlJc w:val="left"/>
      <w:pPr>
        <w:ind w:hanging="360" w:left="1182"/>
      </w:pPr>
    </w:lvl>
    <w:lvl w:ilvl="2" w:tentative="1" w:tplc="0410001B">
      <w:start w:val="1"/>
      <w:numFmt w:val="lowerRoman"/>
      <w:lvlText w:val="%3."/>
      <w:lvlJc w:val="right"/>
      <w:pPr>
        <w:ind w:hanging="180" w:left="1902"/>
      </w:pPr>
    </w:lvl>
    <w:lvl w:ilvl="3" w:tentative="1" w:tplc="0410000F">
      <w:start w:val="1"/>
      <w:numFmt w:val="decimal"/>
      <w:lvlText w:val="%4."/>
      <w:lvlJc w:val="left"/>
      <w:pPr>
        <w:ind w:hanging="360" w:left="2622"/>
      </w:pPr>
    </w:lvl>
    <w:lvl w:ilvl="4" w:tentative="1" w:tplc="04100019">
      <w:start w:val="1"/>
      <w:numFmt w:val="lowerLetter"/>
      <w:lvlText w:val="%5."/>
      <w:lvlJc w:val="left"/>
      <w:pPr>
        <w:ind w:hanging="360" w:left="3342"/>
      </w:pPr>
    </w:lvl>
    <w:lvl w:ilvl="5" w:tentative="1" w:tplc="0410001B">
      <w:start w:val="1"/>
      <w:numFmt w:val="lowerRoman"/>
      <w:lvlText w:val="%6."/>
      <w:lvlJc w:val="right"/>
      <w:pPr>
        <w:ind w:hanging="180" w:left="4062"/>
      </w:pPr>
    </w:lvl>
    <w:lvl w:ilvl="6" w:tentative="1" w:tplc="0410000F">
      <w:start w:val="1"/>
      <w:numFmt w:val="decimal"/>
      <w:lvlText w:val="%7."/>
      <w:lvlJc w:val="left"/>
      <w:pPr>
        <w:ind w:hanging="360" w:left="4782"/>
      </w:pPr>
    </w:lvl>
    <w:lvl w:ilvl="7" w:tentative="1" w:tplc="04100019">
      <w:start w:val="1"/>
      <w:numFmt w:val="lowerLetter"/>
      <w:lvlText w:val="%8."/>
      <w:lvlJc w:val="left"/>
      <w:pPr>
        <w:ind w:hanging="360" w:left="5502"/>
      </w:pPr>
    </w:lvl>
    <w:lvl w:ilvl="8" w:tentative="1" w:tplc="0410001B">
      <w:start w:val="1"/>
      <w:numFmt w:val="lowerRoman"/>
      <w:lvlText w:val="%9."/>
      <w:lvlJc w:val="right"/>
      <w:pPr>
        <w:ind w:hanging="180" w:left="6222"/>
      </w:pPr>
    </w:lvl>
  </w:abstractNum>
  <w:abstractNum w15:restartNumberingAfterBreak="0" w:abstractNumId="2">
    <w:nsid w:val="631F7305"/>
    <w:multiLevelType w:val="hybridMultilevel"/>
    <w:tmpl w:val="F706685E"/>
    <w:lvl w:ilvl="0" w:tplc="B19C34C6">
      <w:start w:val="1"/>
      <w:numFmt w:val="upperRoman"/>
      <w:lvlText w:val="%1."/>
      <w:lvlJc w:val="left"/>
      <w:pPr>
        <w:ind w:hanging="720" w:left="1080"/>
      </w:pPr>
      <w:rPr>
        <w:rFonts w:hint="default"/>
      </w:rPr>
    </w:lvl>
    <w:lvl w:ilvl="1" w:tentative="1" w:tplc="04100019">
      <w:start w:val="1"/>
      <w:numFmt w:val="lowerLetter"/>
      <w:lvlText w:val="%2."/>
      <w:lvlJc w:val="left"/>
      <w:pPr>
        <w:ind w:hanging="360" w:left="1440"/>
      </w:pPr>
    </w:lvl>
    <w:lvl w:ilvl="2" w:tentative="1" w:tplc="0410001B">
      <w:start w:val="1"/>
      <w:numFmt w:val="lowerRoman"/>
      <w:lvlText w:val="%3."/>
      <w:lvlJc w:val="right"/>
      <w:pPr>
        <w:ind w:hanging="180" w:left="2160"/>
      </w:pPr>
    </w:lvl>
    <w:lvl w:ilvl="3" w:tentative="1" w:tplc="0410000F">
      <w:start w:val="1"/>
      <w:numFmt w:val="decimal"/>
      <w:lvlText w:val="%4."/>
      <w:lvlJc w:val="left"/>
      <w:pPr>
        <w:ind w:hanging="360" w:left="2880"/>
      </w:pPr>
    </w:lvl>
    <w:lvl w:ilvl="4" w:tentative="1" w:tplc="04100019">
      <w:start w:val="1"/>
      <w:numFmt w:val="lowerLetter"/>
      <w:lvlText w:val="%5."/>
      <w:lvlJc w:val="left"/>
      <w:pPr>
        <w:ind w:hanging="360" w:left="3600"/>
      </w:pPr>
    </w:lvl>
    <w:lvl w:ilvl="5" w:tentative="1" w:tplc="0410001B">
      <w:start w:val="1"/>
      <w:numFmt w:val="lowerRoman"/>
      <w:lvlText w:val="%6."/>
      <w:lvlJc w:val="right"/>
      <w:pPr>
        <w:ind w:hanging="180" w:left="4320"/>
      </w:pPr>
    </w:lvl>
    <w:lvl w:ilvl="6" w:tentative="1" w:tplc="0410000F">
      <w:start w:val="1"/>
      <w:numFmt w:val="decimal"/>
      <w:lvlText w:val="%7."/>
      <w:lvlJc w:val="left"/>
      <w:pPr>
        <w:ind w:hanging="360" w:left="5040"/>
      </w:pPr>
    </w:lvl>
    <w:lvl w:ilvl="7" w:tentative="1" w:tplc="04100019">
      <w:start w:val="1"/>
      <w:numFmt w:val="lowerLetter"/>
      <w:lvlText w:val="%8."/>
      <w:lvlJc w:val="left"/>
      <w:pPr>
        <w:ind w:hanging="360" w:left="5760"/>
      </w:pPr>
    </w:lvl>
    <w:lvl w:ilvl="8" w:tentative="1" w:tplc="0410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pos="1080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48983950" w:numId="1">
    <w:abstractNumId w:val="3"/>
  </w:num>
  <w:num w16cid:durableId="927733529" w:numId="2">
    <w:abstractNumId w:val="1"/>
  </w:num>
  <w:num w16cid:durableId="1278370378" w:numId="3">
    <w:abstractNumId w:val="2"/>
  </w:num>
  <w:num w16cid:durableId="526066034" w:numId="4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stylePaneFormatFilter w:val="0004"/>
  <w:doNotTrackMoves/>
  <w:defaultTabStop w:val="720"/>
  <w:hyphenationZone w:val="283"/>
  <w:drawingGridHorizontalSpacing w:val="110"/>
  <w:drawingGridVerticalSpacing w:val="360"/>
  <w:displayHorizontalDrawingGridEvery w:val="2"/>
  <w:displayVerticalDrawingGridEvery w:val="0"/>
  <w:characterSpacingControl w:val="doNotCompress"/>
  <w:savePreviewPicture/>
  <w:hdrShapeDefaults>
    <o:shapedefaults spidmax="2050" v:ext="edit"/>
  </w:hdrShapeDefaults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yNjKxMDM3MTMxMbZU0lEKTi0uzszPAykwrAUAbpYEEiwAAAA="/>
  </w:docVars>
  <w:rsids>
    <w:rsidRoot w:val="00E6371E"/>
    <w:rsid w:val="00007882"/>
    <w:rsid w:val="000110BC"/>
    <w:rsid w:val="00050B01"/>
    <w:rsid w:val="00054EF6"/>
    <w:rsid w:val="0015394F"/>
    <w:rsid w:val="00187441"/>
    <w:rsid w:val="00195A10"/>
    <w:rsid w:val="001B11AA"/>
    <w:rsid w:val="001C1A9A"/>
    <w:rsid w:val="001D1308"/>
    <w:rsid w:val="001E1BBE"/>
    <w:rsid w:val="001F3489"/>
    <w:rsid w:val="002353E9"/>
    <w:rsid w:val="00283140"/>
    <w:rsid w:val="00321605"/>
    <w:rsid w:val="00343101"/>
    <w:rsid w:val="0034328D"/>
    <w:rsid w:val="003573F3"/>
    <w:rsid w:val="003802F6"/>
    <w:rsid w:val="00387E6B"/>
    <w:rsid w:val="003B43BF"/>
    <w:rsid w:val="003C31E6"/>
    <w:rsid w:val="003D48A1"/>
    <w:rsid w:val="00412725"/>
    <w:rsid w:val="0044005A"/>
    <w:rsid w:val="004E5AF1"/>
    <w:rsid w:val="004E77B1"/>
    <w:rsid w:val="004F358B"/>
    <w:rsid w:val="005622F2"/>
    <w:rsid w:val="005657D5"/>
    <w:rsid w:val="0058662D"/>
    <w:rsid w:val="005B4567"/>
    <w:rsid w:val="005E6B3B"/>
    <w:rsid w:val="005F3BFA"/>
    <w:rsid w:val="005F3D6A"/>
    <w:rsid w:val="00657C44"/>
    <w:rsid w:val="00664766"/>
    <w:rsid w:val="00673D92"/>
    <w:rsid w:val="00697D92"/>
    <w:rsid w:val="007206AF"/>
    <w:rsid w:val="00724DA1"/>
    <w:rsid w:val="00793571"/>
    <w:rsid w:val="007949B3"/>
    <w:rsid w:val="0086349D"/>
    <w:rsid w:val="00882706"/>
    <w:rsid w:val="008F0929"/>
    <w:rsid w:val="00974F98"/>
    <w:rsid w:val="009768B8"/>
    <w:rsid w:val="009B1A63"/>
    <w:rsid w:val="009C19F6"/>
    <w:rsid w:val="00A165B5"/>
    <w:rsid w:val="00A2328D"/>
    <w:rsid w:val="00A3189E"/>
    <w:rsid w:val="00A34F7E"/>
    <w:rsid w:val="00A674DB"/>
    <w:rsid w:val="00A70A47"/>
    <w:rsid w:val="00AA47E9"/>
    <w:rsid w:val="00AB36B0"/>
    <w:rsid w:val="00AB71FC"/>
    <w:rsid w:val="00B01760"/>
    <w:rsid w:val="00B23ADE"/>
    <w:rsid w:val="00B439B1"/>
    <w:rsid w:val="00B66379"/>
    <w:rsid w:val="00B80C98"/>
    <w:rsid w:val="00BC70F7"/>
    <w:rsid w:val="00BD563E"/>
    <w:rsid w:val="00C369D0"/>
    <w:rsid w:val="00C50F5F"/>
    <w:rsid w:val="00C751A9"/>
    <w:rsid w:val="00CB5E20"/>
    <w:rsid w:val="00CF71FC"/>
    <w:rsid w:val="00D07BBB"/>
    <w:rsid w:val="00D30CCD"/>
    <w:rsid w:val="00D902EE"/>
    <w:rsid w:val="00DB5E3C"/>
    <w:rsid w:val="00E02F46"/>
    <w:rsid w:val="00E5122E"/>
    <w:rsid w:val="00E53F36"/>
    <w:rsid w:val="00E6371E"/>
    <w:rsid w:val="00F041AC"/>
    <w:rsid w:val="00F12E49"/>
    <w:rsid w:val="00F33148"/>
    <w:rsid w:val="00F92507"/>
    <w:rsid w:val="00FB6966"/>
    <w:rsid w:val="00FF217A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widowControl w:val="0"/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3102B"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CF71FC"/>
    <w:pPr>
      <w:pBdr>
        <w:bottom w:color="auto" w:space="1" w:sz="6" w:val="single"/>
      </w:pBd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HeaderChar" w:type="character">
    <w:name w:val="Header Char"/>
    <w:basedOn w:val="DefaultParagraphFont"/>
    <w:link w:val="Header"/>
    <w:uiPriority w:val="99"/>
    <w:rsid w:val="00CF71FC"/>
    <w:rPr>
      <w:sz w:val="18"/>
      <w:szCs w:val="18"/>
    </w:rPr>
  </w:style>
  <w:style w:styleId="Footer" w:type="paragraph">
    <w:name w:val="footer"/>
    <w:basedOn w:val="Normal"/>
    <w:link w:val="FooterChar"/>
    <w:uiPriority w:val="99"/>
    <w:unhideWhenUsed/>
    <w:rsid w:val="00CF71FC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FooterChar" w:type="character">
    <w:name w:val="Footer Char"/>
    <w:basedOn w:val="DefaultParagraphFont"/>
    <w:link w:val="Footer"/>
    <w:uiPriority w:val="99"/>
    <w:rsid w:val="00CF71FC"/>
    <w:rPr>
      <w:sz w:val="18"/>
      <w:szCs w:val="18"/>
    </w:rPr>
  </w:style>
  <w:style w:styleId="BodyText" w:type="paragraph">
    <w:name w:val="Body Text"/>
    <w:basedOn w:val="Normal"/>
    <w:link w:val="BodyTextChar"/>
    <w:rsid w:val="00AA47E9"/>
    <w:pPr>
      <w:widowControl/>
      <w:tabs>
        <w:tab w:pos="288" w:val="left"/>
      </w:tabs>
      <w:spacing w:after="120" w:line="228" w:lineRule="auto"/>
      <w:ind w:firstLine="288"/>
      <w:jc w:val="both"/>
    </w:pPr>
    <w:rPr>
      <w:rFonts w:ascii="Times New Roman" w:cs="Times New Roman" w:eastAsia="SimSun" w:hAnsi="Times New Roman"/>
      <w:spacing w:val="-1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AA47E9"/>
    <w:rPr>
      <w:rFonts w:ascii="Times New Roman" w:cs="Times New Roman" w:eastAsia="SimSun" w:hAnsi="Times New Roman"/>
      <w:spacing w:val="-1"/>
      <w:sz w:val="20"/>
      <w:szCs w:val="20"/>
    </w:rPr>
  </w:style>
  <w:style w:customStyle="1" w:styleId="tablecolhead" w:type="paragraph">
    <w:name w:val="table col head"/>
    <w:basedOn w:val="Normal"/>
    <w:rsid w:val="00AA47E9"/>
    <w:pPr>
      <w:widowControl/>
      <w:spacing w:after="0" w:line="240" w:lineRule="auto"/>
      <w:jc w:val="center"/>
    </w:pPr>
    <w:rPr>
      <w:rFonts w:ascii="Times New Roman" w:cs="Times New Roman" w:eastAsia="SimSun" w:hAnsi="Times New Roman"/>
      <w:b/>
      <w:bCs/>
      <w:sz w:val="16"/>
      <w:szCs w:val="16"/>
    </w:rPr>
  </w:style>
  <w:style w:customStyle="1" w:styleId="tablecolsubhead" w:type="paragraph">
    <w:name w:val="table col subhead"/>
    <w:basedOn w:val="tablecolhead"/>
    <w:rsid w:val="00AA47E9"/>
    <w:rPr>
      <w:i/>
      <w:iCs/>
      <w:sz w:val="15"/>
      <w:szCs w:val="15"/>
    </w:rPr>
  </w:style>
  <w:style w:customStyle="1" w:styleId="tablecopy" w:type="paragraph">
    <w:name w:val="table copy"/>
    <w:rsid w:val="00AA47E9"/>
    <w:pPr>
      <w:widowControl/>
      <w:spacing w:after="0" w:line="240" w:lineRule="auto"/>
      <w:jc w:val="both"/>
    </w:pPr>
    <w:rPr>
      <w:rFonts w:ascii="Times New Roman" w:cs="Times New Roman" w:eastAsia="SimSun" w:hAnsi="Times New Roman"/>
      <w:noProof/>
      <w:sz w:val="16"/>
      <w:szCs w:val="16"/>
    </w:rPr>
  </w:style>
  <w:style w:customStyle="1" w:styleId="tablehead" w:type="paragraph">
    <w:name w:val="table head"/>
    <w:rsid w:val="00AA47E9"/>
    <w:pPr>
      <w:widowControl/>
      <w:numPr>
        <w:numId w:val="1"/>
      </w:numPr>
      <w:spacing w:after="120" w:before="240" w:line="216" w:lineRule="auto"/>
      <w:jc w:val="center"/>
    </w:pPr>
    <w:rPr>
      <w:rFonts w:ascii="Times New Roman" w:cs="Times New Roman" w:eastAsia="SimSun" w:hAnsi="Times New Roman"/>
      <w:smallCaps/>
      <w:noProof/>
      <w:sz w:val="16"/>
      <w:szCs w:val="16"/>
    </w:rPr>
  </w:style>
  <w:style w:styleId="PlaceholderText" w:type="character">
    <w:name w:val="Placeholder Text"/>
    <w:basedOn w:val="DefaultParagraphFont"/>
    <w:uiPriority w:val="99"/>
    <w:semiHidden/>
    <w:rsid w:val="00AA47E9"/>
    <w:rPr>
      <w:color w:val="80808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B23ADE"/>
    <w:pPr>
      <w:spacing w:after="0" w:line="240" w:lineRule="auto"/>
    </w:pPr>
    <w:rPr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B23ADE"/>
    <w:rPr>
      <w:sz w:val="18"/>
      <w:szCs w:val="18"/>
    </w:rPr>
  </w:style>
  <w:style w:styleId="ListParagraph" w:type="paragraph">
    <w:name w:val="List Paragraph"/>
    <w:basedOn w:val="Normal"/>
    <w:uiPriority w:val="34"/>
    <w:qFormat/>
    <w:rsid w:val="00A674DB"/>
    <w:pPr>
      <w:ind w:left="720"/>
      <w:contextualSpacing/>
    </w:pPr>
  </w:style>
  <w:style w:customStyle="1" w:styleId="Abstract" w:type="paragraph">
    <w:name w:val="Abstract"/>
    <w:rsid w:val="00A674DB"/>
    <w:pPr>
      <w:widowControl/>
      <w:spacing w:line="240" w:lineRule="auto"/>
      <w:ind w:firstLine="272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Keywords" w:type="paragraph">
    <w:name w:val="Keywords"/>
    <w:basedOn w:val="Abstract"/>
    <w:qFormat/>
    <w:rsid w:val="005E6B3B"/>
    <w:pPr>
      <w:spacing w:after="120"/>
      <w:ind w:firstLine="274"/>
    </w:pPr>
    <w:rPr>
      <w:i/>
    </w:rPr>
  </w:style>
  <w:style w:styleId="Revision" w:type="paragraph">
    <w:name w:val="Revision"/>
    <w:hidden/>
    <w:uiPriority w:val="99"/>
    <w:semiHidden/>
    <w:rsid w:val="005657D5"/>
    <w:pPr>
      <w:widowControl/>
      <w:spacing w:after="0" w:line="240" w:lineRule="auto"/>
    </w:pPr>
  </w:style>
  <w:style w:styleId="FootnoteText" w:type="paragraph">
    <w:name w:val="footnote text"/>
    <w:basedOn w:val="Normal"/>
    <w:link w:val="FootnoteTextChar"/>
    <w:uiPriority w:val="99"/>
    <w:semiHidden/>
    <w:unhideWhenUsed/>
    <w:rsid w:val="00A70A4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70A47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A70A47"/>
    <w:rPr>
      <w:vertAlign w:val="superscript"/>
    </w:rPr>
  </w:style>
  <w:style w:styleId="CommentReference" w:type="character">
    <w:name w:val="annotation reference"/>
    <w:basedOn w:val="DefaultParagraphFont"/>
    <w:uiPriority w:val="99"/>
    <w:semiHidden/>
    <w:unhideWhenUsed/>
    <w:rsid w:val="00A70A47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70A47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70A47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70A47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70A47"/>
    <w:rPr>
      <w:b/>
      <w:bCs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9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media/image1.emf" Type="http://schemas.openxmlformats.org/officeDocument/2006/relationships/image" /><Relationship Id="rId10" Target="footer1.xml" Type="http://schemas.openxmlformats.org/officeDocument/2006/relationships/footer" /><Relationship Id="rId9" Target="media/image10.emf" Type="http://schemas.openxmlformats.org/officeDocument/2006/relationships/image" /><Relationship Type="http://schemas.openxmlformats.org/officeDocument/2006/relationships/image" Id="rId20" Target="media/rId20.pdf" /><Relationship Type="http://schemas.openxmlformats.org/officeDocument/2006/relationships/image" Id="rId26" Target="media/rId26.pdf" /><Relationship Type="http://schemas.openxmlformats.org/officeDocument/2006/relationships/image" Id="rId32" Target="media/rId32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676</Words>
  <Characters>3858</Characters>
  <Application>Microsoft Office Word</Application>
  <DocSecurity>0</DocSecurity>
  <Lines>32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Digest template 2013</vt:lpstr>
      <vt:lpstr>Microsoft Word - Digest template 2013</vt:lpstr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Boundary-Constrained Rare-Fault Triggering for Short-Horizon Hoister Fault-State Prediction</dc:title>
  <dc:creator/>
  <cp:keywords/>
  <dcterms:created xsi:type="dcterms:W3CDTF">2026-04-26T02:42:04Z</dcterms:created>
  <dcterms:modified xsi:type="dcterms:W3CDTF">2026-04-26T02:42:04Z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