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6.png" ContentType="image/png"/>
  <Override PartName="/word/media/rId32.png" ContentType="image/png"/>
  <Override PartName="/word/media/image1.emf" ContentType="image/x-emf"/>
  <Override PartName="/word/media/image10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SGTONet: Boundary-Constrained Rare-Fault Triggering for Short-Horizon Hoister Fault-State Prediction</w:t>
      </w: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Reliable hoister monitoring requires anticipating a degradation state before an overspeed fault is fully developed, yet the most safety-relevant transition samples are scarce. In our hoister dataset, the second-level degradation state accounts for only 185 of 37,417 timestamps, and strong time-series classifiers can obtain high accuracy while never detecting it. We propose SGTONet, a state-graph trigger-oriented network for one-step fault-state prediction. A patch Transformer encoder captures local temporal changes; a state-transition graph constrains physically plausible evolution; a conservative classifier handles common states; and a boundary-gated rare-fault trigger selectively overrides the classifier only near valid precursor transitions. On 27 files and three file-level splits, SGTONet recovers class 9 with F1 0.5556, whereas DLinear, TimesNet, iTransformer, PatchTST, and a conservative SGTO baseline all score 0.0000. Ablations confirm the value of boundary gating, rare-context attention, and calibrated triggering.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hoisting system, overspeed fault, future-state classification, rare fault prediction, industrial time series.</w:t>
      </w:r>
    </w:p>
    <w:bookmarkStart w:id="1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Industrial hoisting systems are safety-critical assets, and overspeed degradation should be recognized before the fault state becomes unrecoverable. This digest studies a fixed-horizon future-state classification setting: given a current multivariate sensor window, predict the state label one step ahead. The task is difficult because the critical second-level degradation state is extremely rare. In the studied dataset, class 9 has only 185 timestamps out of 37,417, so high overall accuracy can coexist with complete rare-state collapse.</w:t>
      </w:r>
    </w:p>
    <w:p>
      <w:pPr>
        <w:pStyle w:val="BodyText"/>
      </w:pPr>
      <w:r>
        <w:t xml:space="preserve">This failure mode appears in strong time-series classifiers. As shown later, DLinear, TimesNet, iTransformer, PatchTST, and a conservative SGTO baseline all obtain zero class-9 F1 under the same file-level split protocol. The main objective is therefore not simply to maximize accuracy. It is to recover the rare degradation state while keeping common-state predictions controlled.</w:t>
      </w:r>
    </w:p>
    <w:p>
      <w:pPr>
        <w:pStyle w:val="BodyText"/>
      </w:pPr>
      <w:r>
        <w:t xml:space="preserve">The contribution is SGTONet, a state-graph trigger-oriented network for short-horizon hoister state prediction. SGTONet separates conservative multiclass classification from a rare-fault trigger. The classifier is deliberately conservative because common states dominate the data and should not be destabilized by rare-class upweighting. The trigger is deliberately restrictive because class 9 should only be proposed near plausible transition boundaries. It can override the base classifier only when its rare score exceeds a calibrated threshold and the sample satisfies transition-boundary and precursor-state constraints. This design targets the boundary region where the future label changes before the full sensor window looks like the future state.</w:t>
      </w:r>
    </w:p>
    <w:bookmarkEnd w:id="19"/>
    <w:bookmarkStart w:id="24" w:name="task-and-method"/>
    <w:p>
      <w:pPr>
        <w:pStyle w:val="Heading1"/>
      </w:pPr>
      <w:r>
        <w:t xml:space="preserve">Task and Method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multivariate sensor vector at time</w:t>
      </w:r>
      <w:r>
        <w:t xml:space="preserve"> </w:t>
      </w:r>
      <m:oMath>
        <m:r>
          <m:t>t</m:t>
        </m:r>
      </m:oMath>
      <w:r>
        <w:t xml:space="preserve">. For a window length</w:t>
      </w:r>
      <w:r>
        <w:t xml:space="preserve"> </w:t>
      </w:r>
      <m:oMath>
        <m:r>
          <m:t>L</m:t>
        </m:r>
      </m:oMath>
      <w:r>
        <w:t xml:space="preserve">, the input is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and the target is the future label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</m:sub>
        </m:sSub>
      </m:oMath>
      <w:r>
        <w:t xml:space="preserve">. The digest focuses on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</m:oMath>
      <w:r>
        <w:t xml:space="preserve">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96</m:t>
        </m:r>
      </m:oMath>
      <w:r>
        <w:t xml:space="preserve"> </w:t>
      </w:r>
      <w:r>
        <w:t xml:space="preserve">and a window step of 8. Labels are from 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, representing stop, normal operation, first-level degradation, second-level degradation, and fault occurrence. The binary direct-fault indicator is dropped from the input to avoid leakage.</w:t>
      </w:r>
    </w:p>
    <w:p>
      <w:pPr>
        <w:pStyle w:val="BodyText"/>
      </w:pPr>
      <w:r>
        <w:t xml:space="preserve">Fig. </w:t>
      </w:r>
      <w:hyperlink w:anchor="fig:method_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SGTONet. The method combines four modules, each addressing a specific weakness of flat time-series classification. First, a patch Transformer encoder is used because local changes around overspeed transitions may be brief and can be diluted by whole-window averaging. Second, a state-transition graph represents prior knowledge about physically plausible state evolution, reducing arbitrary jumps between labels. Third, a conservative future-state classifier handles the common states, where stable predictions are more important than aggressive rare alarms. Fourth, a patch-attentive rare trigger searches for localized evidence of the second-level degradation state and is allowed to affect the final prediction only under boundary and precursor constraints.</w:t>
      </w:r>
    </w:p>
    <w:p>
      <w:pPr>
        <w:pStyle w:val="BodyText"/>
      </w:pPr>
      <w:r>
        <w:t xml:space="preserve">At inference, the final decision follows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 the rare score,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calibrated threshold,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boundary flag, and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current state. This rule prevents the rare trigger from firing globally and makes the method different from using only a class-weighted loss or a larger backbone.</w:t>
      </w:r>
    </w:p>
    <w:bookmarkStart w:id="23" w:name="fig:method_overview"/>
    <w:p>
      <w:pPr>
        <w:pStyle w:val="CaptionedFigure"/>
      </w:pPr>
      <w:r>
        <w:drawing>
          <wp:inline>
            <wp:extent cx="5767070" cy="25424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0_method_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5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SGTONet decouples conservative future-state classification from a calibrated rare-fault trigger constrained by boundary and precursor semantics.</w:t>
      </w:r>
    </w:p>
    <w:bookmarkEnd w:id="23"/>
    <w:bookmarkEnd w:id="24"/>
    <w:bookmarkStart w:id="30" w:name="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The dataset contains 27 files, 37,417 timestamps sampled every 4 seconds, and five state labels. The class counts are 10,959 for stop, 15,695 for normal operation, 5,364 for first-level degradation, 185 for second-level degradation, and 5,214 for fault occurrence. Evaluation uses file-level train/validation/test splits with split seeds 14, 22, and 30. The primary metrics are macro-F1, balanced accuracy, fault macro-F1, and class-9 precision/recall/F1.</w:t>
      </w:r>
    </w:p>
    <w:bookmarkStart w:id="25" w:name="tab:main"/>
    <w:p>
      <w:pPr>
        <w:pStyle w:val="TableCaption"/>
      </w:pPr>
      <w:r>
        <w:t xml:space="preserve">Main comparison on the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future-state classification task. Values are three-split means.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in comparison on the \Delta=1 future-state classification task. Values are three-split mea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Fault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C9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SGTONet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iTransformer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PatchTST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SGTONetV4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bookmarkEnd w:id="25"/>
    <w:p>
      <w:pPr>
        <w:pStyle w:val="BodyText"/>
      </w:pPr>
      <w:r>
        <w:t xml:space="preserve">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that SGTONet has the best macro-F1 and fault macro-F1 among the tested models, but not the best accuracy. This is expected: the method is optimized for rare-fault recovery rather than top-line accuracy. iTransformer has the highest accuracy, yet its class-9 F1 is zero. Fig. </w:t>
      </w:r>
      <w:hyperlink w:anchor="fig:class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isolates this rare-class behavior.</w:t>
      </w:r>
    </w:p>
    <w:bookmarkStart w:id="29" w:name="fig:class9"/>
    <w:p>
      <w:pPr>
        <w:pStyle w:val="CaptionedFigure"/>
      </w:pPr>
      <w:r>
        <w:drawing>
          <wp:inline>
            <wp:extent cx="5463540" cy="263787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2_class9_pr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2637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Class-9 precision, recall, and F1. Baselines collapse to zero class-9 F1, while SGTONet recovers the rare degradation state.</w:t>
      </w:r>
    </w:p>
    <w:bookmarkEnd w:id="29"/>
    <w:bookmarkEnd w:id="30"/>
    <w:bookmarkStart w:id="36" w:name="ablation-and-scope"/>
    <w:p>
      <w:pPr>
        <w:pStyle w:val="Heading1"/>
      </w:pPr>
      <w:r>
        <w:t xml:space="preserve">Ablation and Scope</w:t>
      </w:r>
    </w:p>
    <w:bookmarkStart w:id="31" w:name="tab:ablation"/>
    <w:p>
      <w:pPr>
        <w:pStyle w:val="TableCaption"/>
      </w:pPr>
      <w:r>
        <w:t xml:space="preserve">SGTONet ablation results on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GTONet ablation results on \Delta=1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C9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SGTONet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precursor constraint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rare context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fallback 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rare override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boundary constraint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0.0158</w:t>
            </w:r>
          </w:p>
        </w:tc>
      </w:tr>
    </w:tbl>
    <w:bookmarkEnd w:id="31"/>
    <w:p>
      <w:pPr>
        <w:pStyle w:val="BodyText"/>
      </w:pPr>
      <w:r>
        <w:t xml:space="preserve">Table </w:t>
      </w:r>
      <w:hyperlink w:anchor="tab:abla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supports the mechanism. Removing rare override collapses class-9 F1 to zero, which means the conservative base classifier alone does not solve rare-state recovery. Removing the boundary constraint causes uncontrolled triggering and reduces class-9 F1 to 0.0158. Replacing patch-attentive rare context with mean context also weakens rare recovery, indicating that local evidence inside the window matters.</w:t>
      </w:r>
    </w:p>
    <w:bookmarkStart w:id="35" w:name="fig:ablation"/>
    <w:p>
      <w:pPr>
        <w:pStyle w:val="CaptionedFigure"/>
      </w:pPr>
      <w:r>
        <w:drawing>
          <wp:inline>
            <wp:extent cx="5463540" cy="270047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3_abl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2700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Ablation study. Rare override, boundary constraint, fallback thresholding, and patch-attentive context all contribute to rare-fault recovery.</w:t>
      </w:r>
    </w:p>
    <w:bookmarkEnd w:id="35"/>
    <w:p>
      <w:pPr>
        <w:pStyle w:val="BodyText"/>
      </w:pPr>
      <w:r>
        <w:t xml:space="preserve">The current result should be scoped carefully. At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3</m:t>
        </m:r>
      </m:oMath>
      <w:r>
        <w:t xml:space="preserve">, PatchTST reaches macro-F1 0.5877 and class-9 F1 0.1919, while SGTONet reaches macro-F1 0.5006 and class-9 F1 0.1070. Thus, the current configuration supports short-horizon rare-fault recovery, not general multi-horizon superiority.</w:t>
      </w:r>
    </w:p>
    <w:bookmarkEnd w:id="36"/>
    <w:bookmarkStart w:id="37" w:name="conclusions-and-future-works"/>
    <w:p>
      <w:pPr>
        <w:pStyle w:val="Heading1"/>
      </w:pPr>
      <w:r>
        <w:t xml:space="preserve">Conclusions and Future Works</w:t>
      </w:r>
    </w:p>
    <w:p>
      <w:pPr>
        <w:pStyle w:val="FirstParagraph"/>
      </w:pPr>
      <w:r>
        <w:t xml:space="preserve">This digest identifies rare-boundary collapse as a practical failure mode in short-horizon hoister fault-state prediction. SGTONet addresses it by combining conservative multiclass prediction with a boundary-constrained rare-fault trigger. On the studied industrial dataset, the method recovers class 9 with F1 0.5556 while tested baselines obtain zero class-9 F1. Future work will validate the method on additional industrial assets, improve horizon-specific trigger calibration, and evaluate deployment-level false-alarm costs.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H. Wu, T. Hu, Y. Liu, H. Zhou, J. Wang, and M. Long,</w:t>
      </w:r>
      <w:r>
        <w:t xml:space="preserve"> </w:t>
      </w:r>
      <w:r>
        <w:t xml:space="preserve">“TimesNet: Temporal 2D-variation modeling for general time series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</w:t>
      </w:r>
    </w:p>
    <w:p>
      <w:pPr>
        <w:pStyle w:val="BodyText"/>
      </w:pPr>
      <w:r>
        <w:t xml:space="preserve">Y. Liu, T. Hu, H. Zhang, H. Wu, S. Wang, L. Ma, and M. Long,</w:t>
      </w:r>
      <w:r>
        <w:t xml:space="preserve"> </w:t>
      </w:r>
      <w:r>
        <w:t xml:space="preserve">“iTransformer: Inverted transformers are effective for time series forecasting,”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</w:t>
      </w:r>
    </w:p>
    <w:p>
      <w:pPr>
        <w:pStyle w:val="BodyText"/>
      </w:pPr>
      <w:r>
        <w:t xml:space="preserve">Y. Nie, N. H. Nguyen, P. Sinthong, and J. Kalagnanam,</w:t>
      </w:r>
      <w:r>
        <w:t xml:space="preserve"> </w:t>
      </w:r>
      <w:r>
        <w:t xml:space="preserve">“A time series is worth 64 words: Long-term forecasting with transformers,”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</w:t>
      </w:r>
    </w:p>
    <w:p>
      <w:pPr>
        <w:pStyle w:val="BodyText"/>
      </w:pPr>
      <w:r>
        <w:t xml:space="preserve">A. Zeng, M. Chen, L. Zhang, and Q. Xu,</w:t>
      </w:r>
      <w:r>
        <w:t xml:space="preserve"> </w:t>
      </w:r>
      <w:r>
        <w:t xml:space="preserve">“Are transformers effective for time series forecasting?”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AAAI</w:t>
      </w:r>
      <w:r>
        <w:t xml:space="preserve">, 2023.</w:t>
      </w:r>
    </w:p>
    <w:bookmarkEnd w:id="37"/>
    <w:sectPr w:rsidR="00BD563E" w:rsidSect="00412725">
      <w:footerReference r:id="rId10" w:type="default"/>
      <w:type w:val="continuous"/>
      <w:pgSz w:h="15840" w:w="12240"/>
      <w:pgMar w:bottom="278" w:footer="550" w:gutter="0" w:header="720" w:left="1338" w:right="1338" w:top="136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2"/>
        <w:szCs w:val="22"/>
      </w:rPr>
      <w:id w:val="725961995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22"/>
            <w:szCs w:val="22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BDEFC94" w14:textId="34C35640" w:rsidR="00E5122E" w:rsidRPr="00FB6966" w:rsidRDefault="00E5122E" w:rsidP="00E5122E">
            <w:pPr>
              <w:pStyle w:val="Footer"/>
              <w:spacing w:after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B6966">
              <w:rPr>
                <w:rFonts w:ascii="Times New Roman" w:hAnsi="Times New Roman" w:cs="Times New Roman"/>
                <w:sz w:val="22"/>
                <w:szCs w:val="22"/>
              </w:rPr>
              <w:t xml:space="preserve">Page </w: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begin"/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instrText xml:space="preserve"> PAGE </w:instrTex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separate"/>
            </w:r>
            <w:r w:rsidR="002353E9" w:rsidRPr="00FB6966">
              <w:rPr>
                <w:rFonts w:ascii="Times New Roman" w:hAnsi="Times New Roman" w:cs="Times New Roman"/>
                <w:bCs/>
                <w:noProof/>
                <w:sz w:val="22"/>
                <w:szCs w:val="22"/>
              </w:rPr>
              <w:t>4</w: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end"/>
            </w:r>
            <w:r w:rsidRPr="00FB6966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begin"/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instrText xml:space="preserve"> NUMPAGES  </w:instrTex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separate"/>
            </w:r>
            <w:r w:rsidR="002353E9" w:rsidRPr="00FB6966">
              <w:rPr>
                <w:rFonts w:ascii="Times New Roman" w:hAnsi="Times New Roman" w:cs="Times New Roman"/>
                <w:bCs/>
                <w:noProof/>
                <w:sz w:val="22"/>
                <w:szCs w:val="22"/>
              </w:rPr>
              <w:t>5</w:t>
            </w:r>
            <w:r w:rsidRPr="00FB6966">
              <w:rPr>
                <w:rFonts w:ascii="Times New Roman" w:hAnsi="Times New Roman" w:cs="Times New Roman"/>
                <w:bCs/>
                <w:sz w:val="22"/>
                <w:szCs w:val="22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93E38"/>
    <w:multiLevelType w:val="hybridMultilevel"/>
    <w:tmpl w:val="63EA725C"/>
    <w:lvl w:ilvl="0" w:tplc="A8B8076A">
      <w:start w:val="1"/>
      <w:numFmt w:val="bullet"/>
      <w:lvlText w:val="•"/>
      <w:lvlJc w:val="left"/>
      <w:pPr>
        <w:ind w:hanging="360" w:left="1004"/>
      </w:pPr>
      <w:rPr>
        <w:rFonts w:hint="default"/>
      </w:rPr>
    </w:lvl>
    <w:lvl w:ilvl="1" w:tentative="1" w:tplc="0410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15:restartNumberingAfterBreak="0" w:abstractNumId="1">
    <w:nsid w:val="525A1E82"/>
    <w:multiLevelType w:val="hybridMultilevel"/>
    <w:tmpl w:val="92B801B6"/>
    <w:lvl w:ilvl="0" w:tplc="1D129410">
      <w:start w:val="1"/>
      <w:numFmt w:val="upperRoman"/>
      <w:lvlText w:val="%1."/>
      <w:lvlJc w:val="left"/>
      <w:pPr>
        <w:ind w:hanging="720" w:left="822"/>
      </w:pPr>
      <w:rPr>
        <w:rFonts w:hint="default"/>
      </w:rPr>
    </w:lvl>
    <w:lvl w:ilvl="1" w:tentative="1" w:tplc="04100019">
      <w:start w:val="1"/>
      <w:numFmt w:val="lowerLetter"/>
      <w:lvlText w:val="%2."/>
      <w:lvlJc w:val="left"/>
      <w:pPr>
        <w:ind w:hanging="360" w:left="1182"/>
      </w:pPr>
    </w:lvl>
    <w:lvl w:ilvl="2" w:tentative="1" w:tplc="0410001B">
      <w:start w:val="1"/>
      <w:numFmt w:val="lowerRoman"/>
      <w:lvlText w:val="%3."/>
      <w:lvlJc w:val="right"/>
      <w:pPr>
        <w:ind w:hanging="180" w:left="1902"/>
      </w:pPr>
    </w:lvl>
    <w:lvl w:ilvl="3" w:tentative="1" w:tplc="0410000F">
      <w:start w:val="1"/>
      <w:numFmt w:val="decimal"/>
      <w:lvlText w:val="%4."/>
      <w:lvlJc w:val="left"/>
      <w:pPr>
        <w:ind w:hanging="360" w:left="2622"/>
      </w:pPr>
    </w:lvl>
    <w:lvl w:ilvl="4" w:tentative="1" w:tplc="04100019">
      <w:start w:val="1"/>
      <w:numFmt w:val="lowerLetter"/>
      <w:lvlText w:val="%5."/>
      <w:lvlJc w:val="left"/>
      <w:pPr>
        <w:ind w:hanging="360" w:left="3342"/>
      </w:pPr>
    </w:lvl>
    <w:lvl w:ilvl="5" w:tentative="1" w:tplc="0410001B">
      <w:start w:val="1"/>
      <w:numFmt w:val="lowerRoman"/>
      <w:lvlText w:val="%6."/>
      <w:lvlJc w:val="right"/>
      <w:pPr>
        <w:ind w:hanging="180" w:left="4062"/>
      </w:pPr>
    </w:lvl>
    <w:lvl w:ilvl="6" w:tentative="1" w:tplc="0410000F">
      <w:start w:val="1"/>
      <w:numFmt w:val="decimal"/>
      <w:lvlText w:val="%7."/>
      <w:lvlJc w:val="left"/>
      <w:pPr>
        <w:ind w:hanging="360" w:left="4782"/>
      </w:pPr>
    </w:lvl>
    <w:lvl w:ilvl="7" w:tentative="1" w:tplc="04100019">
      <w:start w:val="1"/>
      <w:numFmt w:val="lowerLetter"/>
      <w:lvlText w:val="%8."/>
      <w:lvlJc w:val="left"/>
      <w:pPr>
        <w:ind w:hanging="360" w:left="5502"/>
      </w:pPr>
    </w:lvl>
    <w:lvl w:ilvl="8" w:tentative="1" w:tplc="0410001B">
      <w:start w:val="1"/>
      <w:numFmt w:val="lowerRoman"/>
      <w:lvlText w:val="%9."/>
      <w:lvlJc w:val="right"/>
      <w:pPr>
        <w:ind w:hanging="180" w:left="6222"/>
      </w:pPr>
    </w:lvl>
  </w:abstractNum>
  <w:abstractNum w15:restartNumberingAfterBreak="0" w:abstractNumId="2">
    <w:nsid w:val="631F7305"/>
    <w:multiLevelType w:val="hybridMultilevel"/>
    <w:tmpl w:val="F706685E"/>
    <w:lvl w:ilvl="0" w:tplc="B19C34C6">
      <w:start w:val="1"/>
      <w:numFmt w:val="upperRoman"/>
      <w:lvlText w:val="%1."/>
      <w:lvlJc w:val="left"/>
      <w:pPr>
        <w:ind w:hanging="720" w:left="1080"/>
      </w:pPr>
      <w:rPr>
        <w:rFonts w:hint="default"/>
      </w:r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pos="1080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48983950" w:numId="1">
    <w:abstractNumId w:val="3"/>
  </w:num>
  <w:num w16cid:durableId="927733529" w:numId="2">
    <w:abstractNumId w:val="1"/>
  </w:num>
  <w:num w16cid:durableId="1278370378" w:numId="3">
    <w:abstractNumId w:val="2"/>
  </w:num>
  <w:num w16cid:durableId="526066034" w:numId="4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bordersDoNotSurroundHeader/>
  <w:bordersDoNotSurroundFooter/>
  <w:proofState w:grammar="clean" w:spelling="clean"/>
  <w:stylePaneFormatFilter w:val="0004"/>
  <w:doNotTrackMoves/>
  <w:defaultTabStop w:val="720"/>
  <w:hyphenationZone w:val="283"/>
  <w:drawingGridHorizontalSpacing w:val="110"/>
  <w:drawingGridVerticalSpacing w:val="360"/>
  <w:displayHorizontalDrawingGridEvery w:val="2"/>
  <w:displayVerticalDrawingGridEvery w:val="0"/>
  <w:characterSpacingControl w:val="doNotCompress"/>
  <w:savePreviewPicture/>
  <w:hdrShapeDefaults>
    <o:shapedefaults spidmax="2050" v:ext="edit"/>
  </w:hdrShapeDefaults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yNjKxMDM3MTMxMbZU0lEKTi0uzszPAykwrAUAbpYEEiwAAAA="/>
  </w:docVars>
  <w:rsids>
    <w:rsidRoot w:val="00E6371E"/>
    <w:rsid w:val="00007882"/>
    <w:rsid w:val="000110BC"/>
    <w:rsid w:val="00050B01"/>
    <w:rsid w:val="00054EF6"/>
    <w:rsid w:val="0015394F"/>
    <w:rsid w:val="00187441"/>
    <w:rsid w:val="00195A10"/>
    <w:rsid w:val="001B11AA"/>
    <w:rsid w:val="001C1A9A"/>
    <w:rsid w:val="001D1308"/>
    <w:rsid w:val="001E1BBE"/>
    <w:rsid w:val="001F3489"/>
    <w:rsid w:val="002353E9"/>
    <w:rsid w:val="00283140"/>
    <w:rsid w:val="00321605"/>
    <w:rsid w:val="00343101"/>
    <w:rsid w:val="0034328D"/>
    <w:rsid w:val="003573F3"/>
    <w:rsid w:val="003802F6"/>
    <w:rsid w:val="00387E6B"/>
    <w:rsid w:val="003B43BF"/>
    <w:rsid w:val="003C31E6"/>
    <w:rsid w:val="003D48A1"/>
    <w:rsid w:val="00412725"/>
    <w:rsid w:val="0044005A"/>
    <w:rsid w:val="004E5AF1"/>
    <w:rsid w:val="004E77B1"/>
    <w:rsid w:val="004F358B"/>
    <w:rsid w:val="005622F2"/>
    <w:rsid w:val="005657D5"/>
    <w:rsid w:val="0058662D"/>
    <w:rsid w:val="005B4567"/>
    <w:rsid w:val="005E6B3B"/>
    <w:rsid w:val="005F3BFA"/>
    <w:rsid w:val="005F3D6A"/>
    <w:rsid w:val="00657C44"/>
    <w:rsid w:val="00664766"/>
    <w:rsid w:val="00673D92"/>
    <w:rsid w:val="00697D92"/>
    <w:rsid w:val="007206AF"/>
    <w:rsid w:val="00724DA1"/>
    <w:rsid w:val="00793571"/>
    <w:rsid w:val="007949B3"/>
    <w:rsid w:val="0086349D"/>
    <w:rsid w:val="00882706"/>
    <w:rsid w:val="008F0929"/>
    <w:rsid w:val="00974F98"/>
    <w:rsid w:val="009768B8"/>
    <w:rsid w:val="009B1A63"/>
    <w:rsid w:val="009C19F6"/>
    <w:rsid w:val="00A165B5"/>
    <w:rsid w:val="00A2328D"/>
    <w:rsid w:val="00A3189E"/>
    <w:rsid w:val="00A34F7E"/>
    <w:rsid w:val="00A674DB"/>
    <w:rsid w:val="00A70A47"/>
    <w:rsid w:val="00AA47E9"/>
    <w:rsid w:val="00AB36B0"/>
    <w:rsid w:val="00AB71FC"/>
    <w:rsid w:val="00B01760"/>
    <w:rsid w:val="00B23ADE"/>
    <w:rsid w:val="00B439B1"/>
    <w:rsid w:val="00B66379"/>
    <w:rsid w:val="00B80C98"/>
    <w:rsid w:val="00BC70F7"/>
    <w:rsid w:val="00BD563E"/>
    <w:rsid w:val="00C369D0"/>
    <w:rsid w:val="00C50F5F"/>
    <w:rsid w:val="00C751A9"/>
    <w:rsid w:val="00CB5E20"/>
    <w:rsid w:val="00CF71FC"/>
    <w:rsid w:val="00D07BBB"/>
    <w:rsid w:val="00D30CCD"/>
    <w:rsid w:val="00D902EE"/>
    <w:rsid w:val="00DB5E3C"/>
    <w:rsid w:val="00E02F46"/>
    <w:rsid w:val="00E5122E"/>
    <w:rsid w:val="00E53F36"/>
    <w:rsid w:val="00E6371E"/>
    <w:rsid w:val="00F041AC"/>
    <w:rsid w:val="00F12E49"/>
    <w:rsid w:val="00F33148"/>
    <w:rsid w:val="00F92507"/>
    <w:rsid w:val="00FB6966"/>
    <w:rsid w:val="00FF217A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widowControl w:val="0"/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3102B"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CF71F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spacing w:line="240" w:lineRule="auto"/>
      <w:jc w:val="center"/>
    </w:pPr>
    <w:rPr>
      <w:sz w:val="18"/>
      <w:szCs w:val="18"/>
    </w:rPr>
  </w:style>
  <w:style w:customStyle="1" w:styleId="HeaderChar" w:type="character">
    <w:name w:val="Header Char"/>
    <w:basedOn w:val="DefaultParagraphFont"/>
    <w:link w:val="Header"/>
    <w:uiPriority w:val="99"/>
    <w:rsid w:val="00CF71FC"/>
    <w:rPr>
      <w:sz w:val="18"/>
      <w:szCs w:val="18"/>
    </w:rPr>
  </w:style>
  <w:style w:styleId="Footer" w:type="paragraph">
    <w:name w:val="footer"/>
    <w:basedOn w:val="Normal"/>
    <w:link w:val="FooterChar"/>
    <w:uiPriority w:val="99"/>
    <w:unhideWhenUsed/>
    <w:rsid w:val="00CF71FC"/>
    <w:pPr>
      <w:tabs>
        <w:tab w:pos="4153" w:val="center"/>
        <w:tab w:pos="8306" w:val="right"/>
      </w:tabs>
      <w:snapToGrid w:val="0"/>
      <w:spacing w:line="240" w:lineRule="auto"/>
    </w:pPr>
    <w:rPr>
      <w:sz w:val="18"/>
      <w:szCs w:val="18"/>
    </w:rPr>
  </w:style>
  <w:style w:customStyle="1" w:styleId="FooterChar" w:type="character">
    <w:name w:val="Footer Char"/>
    <w:basedOn w:val="DefaultParagraphFont"/>
    <w:link w:val="Footer"/>
    <w:uiPriority w:val="99"/>
    <w:rsid w:val="00CF71FC"/>
    <w:rPr>
      <w:sz w:val="18"/>
      <w:szCs w:val="18"/>
    </w:rPr>
  </w:style>
  <w:style w:styleId="BodyText" w:type="paragraph">
    <w:name w:val="Body Text"/>
    <w:basedOn w:val="Normal"/>
    <w:link w:val="BodyTextChar"/>
    <w:rsid w:val="00AA47E9"/>
    <w:pPr>
      <w:widowControl/>
      <w:tabs>
        <w:tab w:pos="288" w:val="left"/>
      </w:tabs>
      <w:spacing w:after="120" w:line="228" w:lineRule="auto"/>
      <w:ind w:firstLine="288"/>
      <w:jc w:val="both"/>
    </w:pPr>
    <w:rPr>
      <w:rFonts w:ascii="Times New Roman" w:cs="Times New Roman" w:eastAsia="SimSun" w:hAnsi="Times New Roman"/>
      <w:spacing w:val="-1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AA47E9"/>
    <w:rPr>
      <w:rFonts w:ascii="Times New Roman" w:cs="Times New Roman" w:eastAsia="SimSun" w:hAnsi="Times New Roman"/>
      <w:spacing w:val="-1"/>
      <w:sz w:val="20"/>
      <w:szCs w:val="20"/>
    </w:rPr>
  </w:style>
  <w:style w:customStyle="1" w:styleId="tablecolhead" w:type="paragraph">
    <w:name w:val="table col head"/>
    <w:basedOn w:val="Normal"/>
    <w:rsid w:val="00AA47E9"/>
    <w:pPr>
      <w:widowControl/>
      <w:spacing w:after="0" w:line="240" w:lineRule="auto"/>
      <w:jc w:val="center"/>
    </w:pPr>
    <w:rPr>
      <w:rFonts w:ascii="Times New Roman" w:cs="Times New Roman" w:eastAsia="SimSun" w:hAnsi="Times New Roman"/>
      <w:b/>
      <w:bCs/>
      <w:sz w:val="16"/>
      <w:szCs w:val="16"/>
    </w:rPr>
  </w:style>
  <w:style w:customStyle="1" w:styleId="tablecolsubhead" w:type="paragraph">
    <w:name w:val="table col subhead"/>
    <w:basedOn w:val="tablecolhead"/>
    <w:rsid w:val="00AA47E9"/>
    <w:rPr>
      <w:i/>
      <w:iCs/>
      <w:sz w:val="15"/>
      <w:szCs w:val="15"/>
    </w:rPr>
  </w:style>
  <w:style w:customStyle="1" w:styleId="tablecopy" w:type="paragraph">
    <w:name w:val="table copy"/>
    <w:rsid w:val="00AA47E9"/>
    <w:pPr>
      <w:widowControl/>
      <w:spacing w:after="0" w:line="240" w:lineRule="auto"/>
      <w:jc w:val="both"/>
    </w:pPr>
    <w:rPr>
      <w:rFonts w:ascii="Times New Roman" w:cs="Times New Roman" w:eastAsia="SimSun" w:hAnsi="Times New Roman"/>
      <w:noProof/>
      <w:sz w:val="16"/>
      <w:szCs w:val="16"/>
    </w:rPr>
  </w:style>
  <w:style w:customStyle="1" w:styleId="tablehead" w:type="paragraph">
    <w:name w:val="table head"/>
    <w:rsid w:val="00AA47E9"/>
    <w:pPr>
      <w:widowControl/>
      <w:numPr>
        <w:numId w:val="1"/>
      </w:numPr>
      <w:spacing w:after="120" w:before="240" w:line="216" w:lineRule="auto"/>
      <w:jc w:val="center"/>
    </w:pPr>
    <w:rPr>
      <w:rFonts w:ascii="Times New Roman" w:cs="Times New Roman" w:eastAsia="SimSun" w:hAnsi="Times New Roman"/>
      <w:smallCaps/>
      <w:noProof/>
      <w:sz w:val="16"/>
      <w:szCs w:val="16"/>
    </w:rPr>
  </w:style>
  <w:style w:styleId="PlaceholderText" w:type="character">
    <w:name w:val="Placeholder Text"/>
    <w:basedOn w:val="DefaultParagraphFont"/>
    <w:uiPriority w:val="99"/>
    <w:semiHidden/>
    <w:rsid w:val="00AA47E9"/>
    <w:rPr>
      <w:color w:val="80808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B23ADE"/>
    <w:pPr>
      <w:spacing w:after="0" w:line="240" w:lineRule="auto"/>
    </w:pPr>
    <w:rPr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B23ADE"/>
    <w:rPr>
      <w:sz w:val="18"/>
      <w:szCs w:val="18"/>
    </w:rPr>
  </w:style>
  <w:style w:styleId="ListParagraph" w:type="paragraph">
    <w:name w:val="List Paragraph"/>
    <w:basedOn w:val="Normal"/>
    <w:uiPriority w:val="34"/>
    <w:qFormat/>
    <w:rsid w:val="00A674DB"/>
    <w:pPr>
      <w:ind w:left="720"/>
      <w:contextualSpacing/>
    </w:pPr>
  </w:style>
  <w:style w:customStyle="1" w:styleId="Abstract" w:type="paragraph">
    <w:name w:val="Abstract"/>
    <w:rsid w:val="00A674DB"/>
    <w:pPr>
      <w:widowControl/>
      <w:spacing w:line="240" w:lineRule="auto"/>
      <w:ind w:firstLine="272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Keywords" w:type="paragraph">
    <w:name w:val="Keywords"/>
    <w:basedOn w:val="Abstract"/>
    <w:qFormat/>
    <w:rsid w:val="005E6B3B"/>
    <w:pPr>
      <w:spacing w:after="120"/>
      <w:ind w:firstLine="274"/>
    </w:pPr>
    <w:rPr>
      <w:i/>
    </w:rPr>
  </w:style>
  <w:style w:styleId="Revision" w:type="paragraph">
    <w:name w:val="Revision"/>
    <w:hidden/>
    <w:uiPriority w:val="99"/>
    <w:semiHidden/>
    <w:rsid w:val="005657D5"/>
    <w:pPr>
      <w:widowControl/>
      <w:spacing w:after="0" w:line="240" w:lineRule="auto"/>
    </w:pPr>
  </w:style>
  <w:style w:styleId="FootnoteText" w:type="paragraph">
    <w:name w:val="footnote text"/>
    <w:basedOn w:val="Normal"/>
    <w:link w:val="FootnoteTextChar"/>
    <w:uiPriority w:val="99"/>
    <w:semiHidden/>
    <w:unhideWhenUsed/>
    <w:rsid w:val="00A70A47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70A47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A70A47"/>
    <w:rPr>
      <w:vertAlign w:val="superscript"/>
    </w:rPr>
  </w:style>
  <w:style w:styleId="CommentReference" w:type="character">
    <w:name w:val="annotation reference"/>
    <w:basedOn w:val="DefaultParagraphFont"/>
    <w:uiPriority w:val="99"/>
    <w:semiHidden/>
    <w:unhideWhenUsed/>
    <w:rsid w:val="00A70A47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70A47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70A47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70A47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70A47"/>
    <w:rPr>
      <w:b/>
      <w:bCs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9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8" Target="media/image1.emf" Type="http://schemas.openxmlformats.org/officeDocument/2006/relationships/image" /><Relationship Id="rId10" Target="footer1.xml" Type="http://schemas.openxmlformats.org/officeDocument/2006/relationships/footer" /><Relationship Id="rId9" Target="media/image10.emf" Type="http://schemas.openxmlformats.org/officeDocument/2006/relationships/image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676</Words>
  <Characters>3858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Microsoft Word - Digest template 2013</vt:lpstr>
      <vt:lpstr>Microsoft Word - Digest template 2013</vt:lpstr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SGTONet: Boundary-Constrained Rare-Fault Triggering for Short-Horizon Hoister Fault-State Prediction</dc:title>
  <dc:creator/>
  <cp:keywords/>
  <dcterms:created xsi:type="dcterms:W3CDTF">2026-04-26T03:43:32Z</dcterms:created>
  <dcterms:modified xsi:type="dcterms:W3CDTF">2026-04-26T03:43:32Z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