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0" w:after="120"/>
        <w:jc w:val="center"/>
      </w:pPr>
      <w:r>
        <w:rPr>
          <w:rFonts w:ascii="Times New Roman" w:hAnsi="Times New Roman" w:eastAsia="华文中宋"/>
          <w:b w:val="0"/>
          <w:sz w:val="52"/>
        </w:rPr>
        <w:t>武汉理工大学</w:t>
      </w:r>
    </w:p>
    <w:p>
      <w:pPr>
        <w:spacing w:line="360" w:lineRule="auto" w:before="0" w:after="480"/>
        <w:jc w:val="center"/>
      </w:pPr>
      <w:r>
        <w:rPr>
          <w:rFonts w:ascii="Times New Roman" w:hAnsi="Times New Roman" w:eastAsia="华文中宋"/>
          <w:b w:val="0"/>
          <w:sz w:val="52"/>
        </w:rPr>
        <w:t>开题报告</w:t>
      </w:r>
    </w:p>
    <w:p>
      <w:pPr>
        <w:spacing w:line="360" w:lineRule="auto" w:before="0" w:after="0"/>
        <w:jc w:val="left"/>
      </w:pPr>
    </w:p>
    <w:p>
      <w:pPr>
        <w:spacing w:line="360" w:lineRule="auto" w:before="0" w:after="0"/>
        <w:jc w:val="left"/>
      </w:pPr>
    </w:p>
    <w:p>
      <w:pPr>
        <w:spacing w:line="360" w:lineRule="auto" w:before="480" w:after="960"/>
        <w:jc w:val="center"/>
      </w:pPr>
      <w:r>
        <w:rPr>
          <w:rFonts w:ascii="Times New Roman" w:hAnsi="Times New Roman" w:eastAsia="黑体"/>
          <w:b/>
          <w:sz w:val="44"/>
        </w:rPr>
        <w:t>基于扩散机制融合的时间序列概率预测研究</w:t>
      </w:r>
    </w:p>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120" w:after="120"/>
        <w:jc w:val="center"/>
      </w:pPr>
      <w:r>
        <w:rPr>
          <w:rFonts w:ascii="Times New Roman" w:hAnsi="Times New Roman" w:eastAsia="华文中宋"/>
          <w:b w:val="0"/>
          <w:sz w:val="32"/>
        </w:rPr>
        <w:t xml:space="preserve">学生姓名：        </w:t>
      </w:r>
    </w:p>
    <w:p>
      <w:pPr>
        <w:spacing w:line="360" w:lineRule="auto" w:before="120" w:after="120"/>
        <w:jc w:val="center"/>
      </w:pPr>
      <w:r>
        <w:rPr>
          <w:rFonts w:ascii="Times New Roman" w:hAnsi="Times New Roman" w:eastAsia="华文中宋"/>
          <w:b w:val="0"/>
          <w:sz w:val="32"/>
        </w:rPr>
        <w:t xml:space="preserve">专业班级：        </w:t>
      </w:r>
    </w:p>
    <w:p>
      <w:pPr>
        <w:spacing w:line="360" w:lineRule="auto" w:before="120" w:after="120"/>
        <w:jc w:val="center"/>
      </w:pPr>
      <w:r>
        <w:rPr>
          <w:rFonts w:ascii="Times New Roman" w:hAnsi="Times New Roman" w:eastAsia="华文中宋"/>
          <w:b w:val="0"/>
          <w:sz w:val="32"/>
        </w:rPr>
        <w:t xml:space="preserve">指导教师：        </w:t>
      </w:r>
    </w:p>
    <w:p>
      <w:pPr>
        <w:spacing w:line="360" w:lineRule="auto" w:before="120" w:after="120"/>
        <w:jc w:val="center"/>
      </w:pPr>
      <w:r>
        <w:rPr>
          <w:rFonts w:ascii="Times New Roman" w:hAnsi="Times New Roman" w:eastAsia="华文中宋"/>
          <w:b w:val="0"/>
          <w:sz w:val="32"/>
        </w:rPr>
        <w:t xml:space="preserve">完成时间：        </w:t>
      </w:r>
    </w:p>
    <w:p>
      <w:r>
        <w:br w:type="page"/>
      </w:r>
    </w:p>
    <w:p>
      <w:pPr>
        <w:spacing w:line="360" w:lineRule="auto" w:before="240" w:after="240"/>
        <w:jc w:val="center"/>
      </w:pPr>
      <w:r>
        <w:rPr>
          <w:rFonts w:ascii="Times New Roman" w:hAnsi="Times New Roman" w:eastAsia="黑体"/>
          <w:b/>
          <w:sz w:val="36"/>
        </w:rPr>
        <w:t>摘  要</w:t>
      </w:r>
    </w:p>
    <w:p>
      <w:pPr>
        <w:spacing w:line="360" w:lineRule="auto" w:before="0" w:after="0"/>
        <w:ind w:firstLine="420"/>
        <w:jc w:val="both"/>
      </w:pPr>
      <w:r>
        <w:rPr>
          <w:rFonts w:ascii="Times New Roman" w:hAnsi="Times New Roman" w:eastAsia="宋体"/>
          <w:b w:val="0"/>
          <w:sz w:val="24"/>
        </w:rPr>
        <w:t>时间序列预测是数据科学的核心任务，在电力调度、金融风险评估等领域具有重要应用价值。传统确定性预测方法无法量化不确定性，而现有概率预测方法（如扩散模型）的点预测质量显著低于确定性方法。针对该问题，本研究提出 iDiffFormer（iTransformer-Diffusion Forecaster），融合变量级注意力机制与条件扩散模型。核心创新包括：(1) 直接预测扩散范式，使目标分布更规则，训练更稳定；(2) v-prediction 参数化策略，在各时间步保持均衡信噪比；(3) FiLM + VariateCrossAttention 双重条件注入机制；(4) Median-of-Means 聚合方法，点预测精度改善 8.6%。本研究旨在为时间序列概率预测提供高质量的点预测与可靠的不确定性量化。</w:t>
      </w:r>
    </w:p>
    <w:p>
      <w:pPr>
        <w:spacing w:line="360" w:lineRule="auto" w:before="240" w:after="240"/>
        <w:jc w:val="left"/>
      </w:pPr>
      <w:r>
        <w:rPr>
          <w:rFonts w:ascii="Times New Roman" w:hAnsi="Times New Roman" w:eastAsia="黑体"/>
          <w:b/>
          <w:sz w:val="28"/>
        </w:rPr>
        <w:t>关键词：</w:t>
      </w:r>
      <w:r>
        <w:rPr>
          <w:rFonts w:ascii="Times New Roman" w:hAnsi="Times New Roman" w:eastAsia="宋体"/>
          <w:b w:val="0"/>
          <w:sz w:val="24"/>
        </w:rPr>
        <w:t>时间序列预测；扩散模型；iTransformer；概率预测；不确定性量化</w:t>
      </w:r>
    </w:p>
    <w:p>
      <w:r>
        <w:br w:type="page"/>
      </w:r>
    </w:p>
    <w:p>
      <w:pPr>
        <w:spacing w:line="360" w:lineRule="auto" w:before="240" w:after="240"/>
        <w:jc w:val="center"/>
      </w:pPr>
      <w:r>
        <w:rPr>
          <w:rFonts w:ascii="Times New Roman" w:hAnsi="Times New Roman" w:eastAsia="黑体"/>
          <w:b/>
          <w:sz w:val="36"/>
        </w:rPr>
        <w:t>一、目标及意义（含国内外研究现状分析）</w:t>
      </w:r>
    </w:p>
    <w:p>
      <w:pPr>
        <w:spacing w:line="360" w:lineRule="auto" w:before="240" w:after="120"/>
        <w:jc w:val="left"/>
      </w:pPr>
      <w:r>
        <w:rPr>
          <w:rFonts w:ascii="Times New Roman" w:hAnsi="Times New Roman" w:eastAsia="黑体"/>
          <w:b/>
          <w:sz w:val="32"/>
        </w:rPr>
        <w:t>1.1 研究背景</w:t>
      </w:r>
    </w:p>
    <w:p>
      <w:pPr>
        <w:spacing w:line="360" w:lineRule="auto" w:before="0" w:after="0"/>
        <w:ind w:firstLine="420"/>
        <w:jc w:val="both"/>
      </w:pPr>
      <w:r>
        <w:rPr>
          <w:rFonts w:ascii="Times New Roman" w:hAnsi="Times New Roman" w:eastAsia="宋体"/>
          <w:b w:val="0"/>
          <w:sz w:val="24"/>
        </w:rPr>
        <w:t>时间序列预测是数据科学领域的核心任务，广泛应用于电力负荷预测、金融风险评估、气象预报、交通流量估计等领域。传统的时间序列预测方法以点预测为主，如 ARIMA、Prophet 等统计方法，以及深度学习方法如 LSTM、Transformer 及其变体。然而，这些确定性预测方法仅输出单一预测值，无法量化预测的不确定性。在实际决策场景中，决策者不仅需要知道"预测值是多少"，更需要知道"这个预测有多可靠"。例如，电网调度需要考虑负荷预测的置信区间来安排发电计划；金融投资需要评估收益预测的风险范围。因此，能够提供概率分布预测的方法具有重要的理论和实践价值。</w:t>
      </w:r>
    </w:p>
    <w:p>
      <w:pPr>
        <w:spacing w:line="360" w:lineRule="auto" w:before="240" w:after="120"/>
        <w:jc w:val="left"/>
      </w:pPr>
      <w:r>
        <w:rPr>
          <w:rFonts w:ascii="Times New Roman" w:hAnsi="Times New Roman" w:eastAsia="黑体"/>
          <w:b/>
          <w:sz w:val="32"/>
        </w:rPr>
        <w:t>1.2 研究问题</w:t>
      </w:r>
    </w:p>
    <w:p>
      <w:pPr>
        <w:spacing w:line="360" w:lineRule="auto" w:before="0" w:after="0"/>
        <w:ind w:firstLine="420"/>
        <w:jc w:val="both"/>
      </w:pPr>
      <w:r>
        <w:rPr>
          <w:rFonts w:ascii="Times New Roman" w:hAnsi="Times New Roman" w:eastAsia="宋体"/>
          <w:b w:val="0"/>
          <w:sz w:val="24"/>
        </w:rPr>
        <w:t>本研究要解决的核心问题是：如何在保持高精度点预测的同时，提供可靠的不确定性量化？现有方法面临两大困境：（1）概率模型点预测质量差——现有的概率预测方法（如 TimeGrad、CSDI 等扩散模型）虽然能够提供不确定性量化，但点预测精度显著低于确定性方法，例如在 ETTh1 数据集上，TimeGrad 的 MSE 约为 0.94，而确定性方法 iTransformer 仅为 0.39，性能差距达 140%；（2）训练不稳定——扩散模型在时间序列领域的训练存在不稳定问题，现有方法多采用残差预测策略，由于残差分布不规则，需要复杂的归一化策略才能保证收敛。</w:t>
      </w:r>
    </w:p>
    <w:p>
      <w:pPr>
        <w:spacing w:line="360" w:lineRule="auto" w:before="240" w:after="120"/>
        <w:jc w:val="left"/>
      </w:pPr>
      <w:r>
        <w:rPr>
          <w:rFonts w:ascii="Times New Roman" w:hAnsi="Times New Roman" w:eastAsia="黑体"/>
          <w:b/>
          <w:sz w:val="32"/>
        </w:rPr>
        <w:t>1.3 国内外研究现状</w:t>
      </w:r>
    </w:p>
    <w:p>
      <w:pPr>
        <w:spacing w:line="360" w:lineRule="auto" w:before="120" w:after="60"/>
        <w:jc w:val="left"/>
      </w:pPr>
      <w:r>
        <w:rPr>
          <w:rFonts w:ascii="Times New Roman" w:hAnsi="Times New Roman" w:eastAsia="黑体"/>
          <w:b/>
          <w:sz w:val="28"/>
        </w:rPr>
        <w:t>1.3.1 确定性预测方法的演进</w:t>
      </w:r>
    </w:p>
    <w:p>
      <w:pPr>
        <w:spacing w:line="360" w:lineRule="auto" w:before="0" w:after="0"/>
        <w:ind w:firstLine="420"/>
        <w:jc w:val="both"/>
      </w:pPr>
      <w:r>
        <w:rPr>
          <w:rFonts w:ascii="Times New Roman" w:hAnsi="Times New Roman" w:eastAsia="宋体"/>
          <w:b w:val="0"/>
          <w:sz w:val="24"/>
        </w:rPr>
        <w:t>时间序列预测经历了从统计模型到深度学习的发展历程。早期的 ARIMA、指数平滑等统计方法在单变量场景表现良好，但难以捕捉复杂的非线性关系。深度学习方法的兴起带来了 RNN、LSTM、GRU 等序列模型。2017 年 Transformer 架构的提出为时间序列预测带来新的范式，Informer (AAAI 2021)、Autoformer (NeurIPS 2021)、FEDformer (ICML 2022) 等工作在长序列预测上取得突破。近期，iTransformer (ICLR 2024) 提出"倒置"注意力机制，在变量维度而非时间维度应用自注意力，显著提升了多变量预测性能。</w:t>
      </w:r>
    </w:p>
    <w:p>
      <w:pPr>
        <w:spacing w:line="360" w:lineRule="auto" w:before="120" w:after="60"/>
        <w:jc w:val="left"/>
      </w:pPr>
      <w:r>
        <w:rPr>
          <w:rFonts w:ascii="Times New Roman" w:hAnsi="Times New Roman" w:eastAsia="黑体"/>
          <w:b/>
          <w:sz w:val="28"/>
        </w:rPr>
        <w:t>1.3.2 扩散模型的发展</w:t>
      </w:r>
    </w:p>
    <w:p>
      <w:pPr>
        <w:spacing w:line="360" w:lineRule="auto" w:before="0" w:after="0"/>
        <w:ind w:firstLine="420"/>
        <w:jc w:val="both"/>
      </w:pPr>
      <w:r>
        <w:rPr>
          <w:rFonts w:ascii="Times New Roman" w:hAnsi="Times New Roman" w:eastAsia="宋体"/>
          <w:b w:val="0"/>
          <w:sz w:val="24"/>
        </w:rPr>
        <w:t>扩散概率模型 (DDPM) 由 Ho 等人于 2020 年提出，通过逐步添加噪声再逐步去噪的方式实现生成建模，在图像生成领域取得了优异成果。DDIM (2021) 提出确定性采样方案，将采样速度提升 10-50 倍。Salimans 等 (2022) 提出 v-prediction 参数化，在各时间步保持均衡的信噪比，改善了训练稳定性。</w:t>
      </w:r>
    </w:p>
    <w:p>
      <w:pPr>
        <w:spacing w:line="360" w:lineRule="auto" w:before="120" w:after="60"/>
        <w:jc w:val="left"/>
      </w:pPr>
      <w:r>
        <w:rPr>
          <w:rFonts w:ascii="Times New Roman" w:hAnsi="Times New Roman" w:eastAsia="黑体"/>
          <w:b/>
          <w:sz w:val="28"/>
        </w:rPr>
        <w:t>1.3.3 扩散模型在时间序列领域的应用</w:t>
      </w:r>
    </w:p>
    <w:p>
      <w:pPr>
        <w:spacing w:line="360" w:lineRule="auto" w:before="0" w:after="0"/>
        <w:ind w:firstLine="420"/>
        <w:jc w:val="both"/>
      </w:pPr>
      <w:r>
        <w:rPr>
          <w:rFonts w:ascii="Times New Roman" w:hAnsi="Times New Roman" w:eastAsia="宋体"/>
          <w:b w:val="0"/>
          <w:sz w:val="24"/>
        </w:rPr>
        <w:t>TimeGrad (ICML 2021) 首次将扩散模型引入时间序列预测，使用自回归方式逐步生成未来序列。CSDI (NeurIPS 2021) 提出条件扩散模型用于时间序列插补。D3VAE (NeurIPS 2022) 结合变分自编码器与扩散模型。SimDiff (NeurIPS 2023) 提出 Median-of-Means 聚合方法改善点预测质量。然而，现有方法普遍存在点预测质量不足、训练不稳定、条件机制简单等问题。</w:t>
      </w:r>
    </w:p>
    <w:p>
      <w:pPr>
        <w:spacing w:line="360" w:lineRule="auto" w:before="240" w:after="120"/>
        <w:jc w:val="left"/>
      </w:pPr>
      <w:r>
        <w:rPr>
          <w:rFonts w:ascii="Times New Roman" w:hAnsi="Times New Roman" w:eastAsia="黑体"/>
          <w:b/>
          <w:sz w:val="32"/>
        </w:rPr>
        <w:t>1.4 研究意义</w:t>
      </w:r>
    </w:p>
    <w:p>
      <w:pPr>
        <w:spacing w:line="360" w:lineRule="auto" w:before="0" w:after="0"/>
        <w:ind w:firstLine="420"/>
        <w:jc w:val="both"/>
      </w:pPr>
      <w:r>
        <w:rPr>
          <w:rFonts w:ascii="Times New Roman" w:hAnsi="Times New Roman" w:eastAsia="宋体"/>
          <w:b w:val="0"/>
          <w:sz w:val="24"/>
        </w:rPr>
        <w:t>本研究提出将变量级注意力机制与条件扩散模型深度融合的新范式 iDiffFormer（iTransformer-Diffusion Forecaster）。针对现有方法的局限性，本研究提出以下核心创新点：</w:t>
      </w:r>
    </w:p>
    <w:p>
      <w:pPr>
        <w:spacing w:line="360" w:lineRule="auto" w:before="0" w:after="0"/>
        <w:ind w:firstLine="420"/>
        <w:jc w:val="both"/>
      </w:pPr>
      <w:r>
        <w:rPr>
          <w:rFonts w:ascii="Times New Roman" w:hAnsi="Times New Roman" w:eastAsia="宋体"/>
          <w:b/>
          <w:sz w:val="24"/>
        </w:rPr>
        <w:t>创新点 1：直接预测扩散范式——</w:t>
      </w:r>
      <w:r>
        <w:rPr>
          <w:rFonts w:ascii="Times New Roman" w:hAnsi="Times New Roman" w:eastAsia="宋体"/>
          <w:b w:val="0"/>
          <w:sz w:val="24"/>
        </w:rPr>
        <w:t>不同于现有方法的残差预测策略，本研究提出直接预测目标序列，理论分析表明直接预测的目标分布更规则，无需额外的残差归一化模块，训练更稳定、收敛更快。</w:t>
      </w:r>
    </w:p>
    <w:p>
      <w:pPr>
        <w:spacing w:line="360" w:lineRule="auto" w:before="0" w:after="0"/>
        <w:ind w:firstLine="420"/>
        <w:jc w:val="both"/>
      </w:pPr>
      <w:r>
        <w:rPr>
          <w:rFonts w:ascii="Times New Roman" w:hAnsi="Times New Roman" w:eastAsia="宋体"/>
          <w:b/>
          <w:sz w:val="24"/>
        </w:rPr>
        <w:t>创新点 2：v-prediction 参数化——</w:t>
      </w:r>
      <w:r>
        <w:rPr>
          <w:rFonts w:ascii="Times New Roman" w:hAnsi="Times New Roman" w:eastAsia="宋体"/>
          <w:b w:val="0"/>
          <w:sz w:val="24"/>
        </w:rPr>
        <w:t>本研究系统性地对比了 x₀-prediction、ε-prediction 和 v-prediction 三种参数化策略，揭示了 v-prediction 在各时间步保持均衡信噪比的优势。</w:t>
      </w:r>
    </w:p>
    <w:p>
      <w:pPr>
        <w:spacing w:line="360" w:lineRule="auto" w:before="0" w:after="0"/>
        <w:ind w:firstLine="420"/>
        <w:jc w:val="both"/>
      </w:pPr>
      <w:r>
        <w:rPr>
          <w:rFonts w:ascii="Times New Roman" w:hAnsi="Times New Roman" w:eastAsia="宋体"/>
          <w:b/>
          <w:sz w:val="24"/>
        </w:rPr>
        <w:t>创新点 3：双重条件注入机制——</w:t>
      </w:r>
      <w:r>
        <w:rPr>
          <w:rFonts w:ascii="Times New Roman" w:hAnsi="Times New Roman" w:eastAsia="宋体"/>
          <w:b w:val="0"/>
          <w:sz w:val="24"/>
        </w:rPr>
        <w:t>设计 FiLM（全局调制）+ VariateCrossAttention（变量交叉注意力）相结合的条件注入机制，充分利用历史序列的多变量信息。</w:t>
      </w:r>
    </w:p>
    <w:p>
      <w:pPr>
        <w:spacing w:line="360" w:lineRule="auto" w:before="0" w:after="0"/>
        <w:ind w:firstLine="420"/>
        <w:jc w:val="both"/>
      </w:pPr>
      <w:r>
        <w:rPr>
          <w:rFonts w:ascii="Times New Roman" w:hAnsi="Times New Roman" w:eastAsia="宋体"/>
          <w:b/>
          <w:sz w:val="24"/>
        </w:rPr>
        <w:t>创新点 4：Median-of-Means 聚合——</w:t>
      </w:r>
      <w:r>
        <w:rPr>
          <w:rFonts w:ascii="Times New Roman" w:hAnsi="Times New Roman" w:eastAsia="宋体"/>
          <w:b w:val="0"/>
          <w:sz w:val="24"/>
        </w:rPr>
        <w:t>借鉴 SimDiff 提出的 MoM 方法，将多个采样分组后取组均值的中位数，实验表明该方法使点预测 MSE 改善 8.6%。</w:t>
      </w:r>
    </w:p>
    <w:p>
      <w:pPr>
        <w:spacing w:line="360" w:lineRule="auto" w:before="240" w:after="240"/>
        <w:jc w:val="center"/>
      </w:pPr>
      <w:r>
        <w:rPr>
          <w:rFonts w:ascii="Times New Roman" w:hAnsi="Times New Roman" w:eastAsia="黑体"/>
          <w:b/>
          <w:sz w:val="36"/>
        </w:rPr>
        <w:t>二、研究设计的基本内容、目标、拟采用的技术方案及措施</w:t>
      </w:r>
    </w:p>
    <w:p>
      <w:pPr>
        <w:spacing w:line="360" w:lineRule="auto" w:before="240" w:after="120"/>
        <w:jc w:val="left"/>
      </w:pPr>
      <w:r>
        <w:rPr>
          <w:rFonts w:ascii="Times New Roman" w:hAnsi="Times New Roman" w:eastAsia="黑体"/>
          <w:b/>
          <w:sz w:val="32"/>
        </w:rPr>
        <w:t>2.1 研究目标</w:t>
      </w:r>
    </w:p>
    <w:p>
      <w:pPr>
        <w:spacing w:line="360" w:lineRule="auto" w:before="0" w:after="0"/>
        <w:ind w:firstLine="420"/>
        <w:jc w:val="both"/>
      </w:pPr>
      <w:r>
        <w:rPr>
          <w:rFonts w:ascii="Times New Roman" w:hAnsi="Times New Roman" w:eastAsia="宋体"/>
          <w:b w:val="0"/>
          <w:sz w:val="24"/>
        </w:rPr>
        <w:t>本研究旨在设计一种融合变量级注意力机制与条件扩散模型的时间序列概率预测方法 iDiffFormer，实现以下目标：（1）高质量的点预测，缩小与确定性方法的差距；（2）可靠的不确定性量化，提供校准良好的预测区间；（3）高效的训练与推理，适用于实际部署场景。</w:t>
      </w:r>
    </w:p>
    <w:p>
      <w:pPr>
        <w:spacing w:line="360" w:lineRule="auto" w:before="240" w:after="120"/>
        <w:jc w:val="left"/>
      </w:pPr>
      <w:r>
        <w:rPr>
          <w:rFonts w:ascii="Times New Roman" w:hAnsi="Times New Roman" w:eastAsia="黑体"/>
          <w:b/>
          <w:sz w:val="32"/>
        </w:rPr>
        <w:t>2.2 理论基础</w:t>
      </w:r>
    </w:p>
    <w:p>
      <w:pPr>
        <w:spacing w:line="360" w:lineRule="auto" w:before="0" w:after="0"/>
        <w:ind w:firstLine="420"/>
        <w:jc w:val="both"/>
      </w:pPr>
      <w:r>
        <w:rPr>
          <w:rFonts w:ascii="Times New Roman" w:hAnsi="Times New Roman" w:eastAsia="宋体"/>
          <w:b w:val="0"/>
          <w:sz w:val="24"/>
        </w:rPr>
        <w:t>扩散模型包含前向加噪和逆向去噪两个过程。前向过程定义为：</w:t>
      </w:r>
    </w:p>
    <w:p>
      <w:pPr>
        <w:spacing w:line="360" w:lineRule="auto" w:before="120" w:after="120"/>
        <w:jc w:val="center"/>
      </w:pPr>
      <m:oMath>
        <m:r>
          <m:t>q</m:t>
        </m:r>
        <m:d>
          <m:dPr/>
          <m:e>
            <m:sSub>
              <m:e>
                <m:r>
                  <m:t>x</m:t>
                </m:r>
              </m:e>
              <m:sub>
                <m:r>
                  <m:t>t</m:t>
                </m:r>
              </m:sub>
            </m:sSub>
            <m:r>
              <m:t>|</m:t>
            </m:r>
            <m:sSub>
              <m:e>
                <m:r>
                  <m:t>x</m:t>
                </m:r>
              </m:e>
              <m:sub>
                <m:r>
                  <m:t>t-1</m:t>
                </m:r>
              </m:sub>
            </m:sSub>
          </m:e>
        </m:d>
        <m:r>
          <m:t> = </m:t>
        </m:r>
        <m:r>
          <m:t>𝒩</m:t>
        </m:r>
        <m:d>
          <m:dPr/>
          <m:e>
            <m:sSub>
              <m:e>
                <m:r>
                  <m:t>x</m:t>
                </m:r>
              </m:e>
              <m:sub>
                <m:r>
                  <m:t>t</m:t>
                </m:r>
              </m:sub>
            </m:sSub>
            <m:r>
              <m:t>; </m:t>
            </m:r>
            <m:rad>
              <m:radPr>
                <m:degHide m:val="1"/>
              </m:radPr>
              <m:deg/>
              <m:e>
                <m:r>
                  <m:t>1-β</m:t>
                </m:r>
              </m:e>
            </m:rad>
            <m:sSub>
              <m:e>
                <m:r>
                  <m:t>x</m:t>
                </m:r>
              </m:e>
              <m:sub>
                <m:r>
                  <m:t>t-1</m:t>
                </m:r>
              </m:sub>
            </m:sSub>
            <m:r>
              <m:t>, </m:t>
            </m:r>
            <m:sSub>
              <m:e>
                <m:r>
                  <m:t>β</m:t>
                </m:r>
              </m:e>
              <m:sub>
                <m:r>
                  <m:t>t</m:t>
                </m:r>
              </m:sub>
            </m:sSub>
            <m:r>
              <m:t>I</m:t>
            </m:r>
          </m:e>
        </m:d>
      </m:oMath>
    </w:p>
    <w:p>
      <w:pPr>
        <w:spacing w:line="360" w:lineRule="auto" w:before="0" w:after="0"/>
        <w:ind w:firstLine="420"/>
        <w:jc w:val="both"/>
      </w:pPr>
      <w:r>
        <w:rPr>
          <w:rFonts w:ascii="Times New Roman" w:hAnsi="Times New Roman" w:eastAsia="宋体"/>
          <w:b w:val="0"/>
          <w:sz w:val="24"/>
        </w:rPr>
        <w:t xml:space="preserve">其中 </w:t>
      </w:r>
      <m:sSub>
        <m:e>
          <m:r>
            <m:t>β</m:t>
          </m:r>
        </m:e>
        <m:sub>
          <m:r>
            <m:t>t</m:t>
          </m:r>
        </m:sub>
      </m:sSub>
      <w:r>
        <w:rPr>
          <w:rFonts w:ascii="Times New Roman" w:hAnsi="Times New Roman" w:eastAsia="宋体"/>
          <w:b w:val="0"/>
          <w:sz w:val="24"/>
        </w:rPr>
        <w:t xml:space="preserve"> 为噪声调度参数。逆向去噪过程为：</w:t>
      </w:r>
    </w:p>
    <w:p>
      <w:pPr>
        <w:spacing w:line="360" w:lineRule="auto" w:before="120" w:after="120"/>
        <w:jc w:val="center"/>
      </w:pPr>
      <m:oMath>
        <m:sSub>
          <m:e>
            <m:r>
              <m:t>p</m:t>
            </m:r>
          </m:e>
          <m:sub>
            <m:r>
              <m:t>θ</m:t>
            </m:r>
          </m:sub>
        </m:sSub>
        <m:d>
          <m:dPr/>
          <m:e>
            <m:sSub>
              <m:e>
                <m:r>
                  <m:t>x</m:t>
                </m:r>
              </m:e>
              <m:sub>
                <m:r>
                  <m:t>t-1</m:t>
                </m:r>
              </m:sub>
            </m:sSub>
            <m:r>
              <m:t>|</m:t>
            </m:r>
            <m:sSub>
              <m:e>
                <m:r>
                  <m:t>x</m:t>
                </m:r>
              </m:e>
              <m:sub>
                <m:r>
                  <m:t>t</m:t>
                </m:r>
              </m:sub>
            </m:sSub>
          </m:e>
        </m:d>
        <m:r>
          <m:t> = </m:t>
        </m:r>
        <m:r>
          <m:t>𝒩</m:t>
        </m:r>
        <m:d>
          <m:dPr/>
          <m:e>
            <m:sSub>
              <m:e>
                <m:r>
                  <m:t>x</m:t>
                </m:r>
              </m:e>
              <m:sub>
                <m:r>
                  <m:t>t-1</m:t>
                </m:r>
              </m:sub>
            </m:sSub>
            <m:r>
              <m:t>; </m:t>
            </m:r>
            <m:sSub>
              <m:e>
                <m:r>
                  <m:t>μ</m:t>
                </m:r>
              </m:e>
              <m:sub>
                <m:r>
                  <m:t>θ</m:t>
                </m:r>
              </m:sub>
            </m:sSub>
            <m:d>
              <m:dPr/>
              <m:e>
                <m:sSub>
                  <m:e>
                    <m:r>
                      <m:t>x</m:t>
                    </m:r>
                  </m:e>
                  <m:sub>
                    <m:r>
                      <m:t>t</m:t>
                    </m:r>
                  </m:sub>
                </m:sSub>
                <m:r>
                  <m:t>,t</m:t>
                </m:r>
              </m:e>
            </m:d>
            <m:r>
              <m:t>, </m:t>
            </m:r>
            <m:sSub>
              <m:e>
                <m:r>
                  <m:t>Σ</m:t>
                </m:r>
              </m:e>
              <m:sub>
                <m:r>
                  <m:t>θ</m:t>
                </m:r>
              </m:sub>
            </m:sSub>
            <m:d>
              <m:dPr/>
              <m:e>
                <m:sSub>
                  <m:e>
                    <m:r>
                      <m:t>x</m:t>
                    </m:r>
                  </m:e>
                  <m:sub>
                    <m:r>
                      <m:t>t</m:t>
                    </m:r>
                  </m:sub>
                </m:sSub>
                <m:r>
                  <m:t>,t</m:t>
                </m:r>
              </m:e>
            </m:d>
          </m:e>
        </m:d>
      </m:oMath>
    </w:p>
    <w:p>
      <w:pPr>
        <w:spacing w:line="360" w:lineRule="auto" w:before="0" w:after="0"/>
        <w:ind w:firstLine="420"/>
        <w:jc w:val="both"/>
      </w:pPr>
      <w:r>
        <w:rPr>
          <w:rFonts w:ascii="Times New Roman" w:hAnsi="Times New Roman" w:eastAsia="宋体"/>
          <w:b w:val="0"/>
          <w:sz w:val="24"/>
        </w:rPr>
        <w:t xml:space="preserve">通过学习噪声预测网络 </w:t>
      </w:r>
      <m:oMath>
        <m:sSub>
          <m:e>
            <m:r>
              <m:t>ε</m:t>
            </m:r>
          </m:e>
          <m:sub>
            <m:r>
              <m:t>θ</m:t>
            </m:r>
          </m:sub>
        </m:sSub>
        <m:d>
          <m:dPr/>
          <m:e>
            <m:sSub>
              <m:e>
                <m:r>
                  <m:t>x</m:t>
                </m:r>
              </m:e>
              <m:sub>
                <m:r>
                  <m:t>t</m:t>
                </m:r>
              </m:sub>
            </m:sSub>
            <m:r>
              <m:t>, t</m:t>
            </m:r>
          </m:e>
        </m:d>
      </m:oMath>
      <w:r>
        <w:rPr>
          <w:rFonts w:ascii="Times New Roman" w:hAnsi="Times New Roman" w:eastAsia="宋体"/>
          <w:b w:val="0"/>
          <w:sz w:val="24"/>
        </w:rPr>
        <w:t>，模型可以从纯噪声逐步恢复出原始数据。条件扩散模型引入条件特征 c，使生成过程依赖于输入条件，条件注入机制通过 FiLM 调制或交叉注意力将条件信息融入去噪网络。</w:t>
      </w:r>
    </w:p>
    <w:p>
      <w:pPr>
        <w:spacing w:line="360" w:lineRule="auto" w:before="240" w:after="120"/>
        <w:jc w:val="left"/>
      </w:pPr>
      <w:r>
        <w:rPr>
          <w:rFonts w:ascii="Times New Roman" w:hAnsi="Times New Roman" w:eastAsia="黑体"/>
          <w:b/>
          <w:sz w:val="32"/>
        </w:rPr>
        <w:t>2.3 研究内容</w:t>
      </w:r>
    </w:p>
    <w:p>
      <w:pPr>
        <w:spacing w:line="360" w:lineRule="auto" w:before="120" w:after="60"/>
        <w:jc w:val="left"/>
      </w:pPr>
      <w:r>
        <w:rPr>
          <w:rFonts w:ascii="Times New Roman" w:hAnsi="Times New Roman" w:eastAsia="黑体"/>
          <w:b/>
          <w:sz w:val="28"/>
        </w:rPr>
        <w:t>2.3.1 iTransformer 条件特征提取器</w:t>
      </w:r>
    </w:p>
    <w:p>
      <w:pPr>
        <w:spacing w:line="360" w:lineRule="auto" w:before="0" w:after="0"/>
        <w:ind w:firstLine="420"/>
        <w:jc w:val="both"/>
      </w:pPr>
      <w:r>
        <w:rPr>
          <w:rFonts w:ascii="Times New Roman" w:hAnsi="Times New Roman" w:eastAsia="宋体"/>
          <w:b w:val="0"/>
          <w:sz w:val="24"/>
        </w:rPr>
        <w:t xml:space="preserve">采用 iTransformer 作为条件特征提取器，其核心创新是将自注意力从时间维度转移到变量维度。对于输入序列 </w:t>
      </w:r>
      <m:oMath>
        <m:r>
          <m:t>X ∈ </m:t>
        </m:r>
        <m:sSup>
          <m:e>
            <m:r>
              <m:t>ℝ</m:t>
            </m:r>
          </m:e>
          <m:sup>
            <m:r>
              <m:t>B×T×N</m:t>
            </m:r>
          </m:sup>
        </m:sSup>
      </m:oMath>
      <w:r>
        <w:rPr>
          <w:rFonts w:ascii="Times New Roman" w:hAnsi="Times New Roman" w:eastAsia="宋体"/>
          <w:b w:val="0"/>
          <w:sz w:val="24"/>
        </w:rPr>
        <w:t xml:space="preserve">，通过线性投影将时间维度压缩到隐空间，然后在变量维度应用多头自注意力，捕捉变量间的相互依赖关系。编码器输出 </w:t>
      </w:r>
      <m:oMath>
        <m:r>
          <m:t>z ∈ </m:t>
        </m:r>
        <m:sSup>
          <m:e>
            <m:r>
              <m:t>ℝ</m:t>
            </m:r>
          </m:e>
          <m:sup>
            <m:r>
              <m:t>B×N×d</m:t>
            </m:r>
          </m:sup>
        </m:sSup>
      </m:oMath>
      <w:r>
        <w:rPr>
          <w:rFonts w:ascii="Times New Roman" w:hAnsi="Times New Roman" w:eastAsia="宋体"/>
          <w:b w:val="0"/>
          <w:sz w:val="24"/>
        </w:rPr>
        <w:t xml:space="preserve"> 包含每个变量的全局表示，适合作为扩散模型的条件输入。</w:t>
      </w:r>
    </w:p>
    <w:p>
      <w:pPr>
        <w:spacing w:line="360" w:lineRule="auto" w:before="120" w:after="60"/>
        <w:jc w:val="left"/>
      </w:pPr>
      <w:r>
        <w:rPr>
          <w:rFonts w:ascii="Times New Roman" w:hAnsi="Times New Roman" w:eastAsia="黑体"/>
          <w:b/>
          <w:sz w:val="28"/>
        </w:rPr>
        <w:t>2.3.2 直接预测扩散模型设计</w:t>
      </w:r>
    </w:p>
    <w:p>
      <w:pPr>
        <w:spacing w:line="360" w:lineRule="auto" w:before="0" w:after="0"/>
        <w:ind w:firstLine="420"/>
        <w:jc w:val="both"/>
      </w:pPr>
      <w:r>
        <w:rPr>
          <w:rFonts w:ascii="Times New Roman" w:hAnsi="Times New Roman" w:eastAsia="宋体"/>
          <w:b w:val="0"/>
          <w:sz w:val="24"/>
        </w:rPr>
        <w:t xml:space="preserve">区别于现有方法的残差预测策略（预测 </w:t>
      </w:r>
      <m:sSub>
        <m:e>
          <m:r>
            <m:t>y</m:t>
          </m:r>
        </m:e>
        <m:sub>
          <m:r>
            <m:t>true</m:t>
          </m:r>
        </m:sub>
      </m:sSub>
      <w:r>
        <w:rPr>
          <w:rFonts w:ascii="Times New Roman" w:hAnsi="Times New Roman" w:eastAsia="宋体"/>
          <w:b w:val="0"/>
          <w:sz w:val="24"/>
        </w:rPr>
        <w:t xml:space="preserve"> - </w:t>
      </w:r>
      <m:sSub>
        <m:e>
          <m:r>
            <m:t>y</m:t>
          </m:r>
        </m:e>
        <m:sub>
          <m:r>
            <m:t>det</m:t>
          </m:r>
        </m:sub>
      </m:sSub>
      <w:r>
        <w:rPr>
          <w:rFonts w:ascii="Times New Roman" w:hAnsi="Times New Roman" w:eastAsia="宋体"/>
          <w:b w:val="0"/>
          <w:sz w:val="24"/>
        </w:rPr>
        <w:t xml:space="preserve">），本研究采用直接预测方式（直接预测 </w:t>
      </w:r>
      <m:sSub>
        <m:e>
          <m:r>
            <m:t>y</m:t>
          </m:r>
        </m:e>
        <m:sub>
          <m:r>
            <m:t>true</m:t>
          </m:r>
        </m:sub>
      </m:sSub>
      <w:r>
        <w:rPr>
          <w:rFonts w:ascii="Times New Roman" w:hAnsi="Times New Roman" w:eastAsia="宋体"/>
          <w:b w:val="0"/>
          <w:sz w:val="24"/>
        </w:rPr>
        <w:t>）。同时，系统性地实现三种参数化策略：</w:t>
      </w:r>
    </w:p>
    <w:p>
      <w:pPr>
        <w:spacing w:line="360" w:lineRule="auto" w:before="0" w:after="0"/>
        <w:ind w:firstLine="420"/>
        <w:jc w:val="both"/>
      </w:pPr>
      <w:r>
        <w:rPr>
          <w:rFonts w:ascii="Times New Roman" w:hAnsi="Times New Roman" w:eastAsia="宋体"/>
          <w:b w:val="0"/>
          <w:sz w:val="24"/>
        </w:rPr>
        <w:t>（1）</w:t>
      </w:r>
      <m:sSub>
        <m:e>
          <m:r>
            <m:t>x</m:t>
          </m:r>
        </m:e>
        <m:sub>
          <m:r>
            <m:t>0</m:t>
          </m:r>
        </m:sub>
      </m:sSub>
      <w:r>
        <w:rPr>
          <w:rFonts w:ascii="Times New Roman" w:hAnsi="Times New Roman" w:eastAsia="宋体"/>
          <w:b w:val="0"/>
          <w:sz w:val="24"/>
        </w:rPr>
        <w:t>-prediction：直接预测干净数据；（2）ε-prediction：预测噪声，DDPM 标准方法；（3）v-prediction：预测 v，本研究推荐。v-prediction 定义为：</w:t>
      </w:r>
    </w:p>
    <w:p>
      <w:pPr>
        <w:spacing w:line="360" w:lineRule="auto" w:before="120" w:after="120"/>
        <w:jc w:val="center"/>
      </w:pPr>
      <m:oMath>
        <m:r>
          <m:t>v = </m:t>
        </m:r>
        <m:rad>
          <m:radPr>
            <m:degHide m:val="1"/>
          </m:radPr>
          <m:deg/>
          <m:e>
            <m:sSub>
              <m:e>
                <m:r>
                  <m:t>α̅</m:t>
                </m:r>
              </m:e>
              <m:sub>
                <m:r>
                  <m:t>t</m:t>
                </m:r>
              </m:sub>
            </m:sSub>
          </m:e>
        </m:rad>
        <m:r>
          <m:t> · ε - </m:t>
        </m:r>
        <m:rad>
          <m:radPr>
            <m:degHide m:val="1"/>
          </m:radPr>
          <m:deg/>
          <m:e>
            <m:r>
              <m:t>1-</m:t>
            </m:r>
            <m:sSub>
              <m:e>
                <m:r>
                  <m:t>α̅</m:t>
                </m:r>
              </m:e>
              <m:sub>
                <m:r>
                  <m:t>t</m:t>
                </m:r>
              </m:sub>
            </m:sSub>
          </m:e>
        </m:rad>
        <m:r>
          <m:t> · </m:t>
        </m:r>
        <m:sSub>
          <m:e>
            <m:r>
              <m:t>x</m:t>
            </m:r>
          </m:e>
          <m:sub>
            <m:r>
              <m:t>0</m:t>
            </m:r>
          </m:sub>
        </m:sSub>
      </m:oMath>
    </w:p>
    <w:p>
      <w:pPr>
        <w:spacing w:line="360" w:lineRule="auto" w:before="0" w:after="0"/>
        <w:ind w:firstLine="420"/>
        <w:jc w:val="both"/>
      </w:pPr>
      <w:r>
        <w:rPr>
          <w:rFonts w:ascii="Times New Roman" w:hAnsi="Times New Roman" w:eastAsia="宋体"/>
          <w:b w:val="0"/>
          <w:sz w:val="24"/>
        </w:rPr>
        <w:t>v-prediction 在所有时间步保持相对稳定的信噪比，训练稳定性最高。</w:t>
      </w:r>
    </w:p>
    <w:p>
      <w:pPr>
        <w:spacing w:line="360" w:lineRule="auto" w:before="120" w:after="60"/>
        <w:jc w:val="left"/>
      </w:pPr>
      <w:r>
        <w:rPr>
          <w:rFonts w:ascii="Times New Roman" w:hAnsi="Times New Roman" w:eastAsia="黑体"/>
          <w:b/>
          <w:sz w:val="28"/>
        </w:rPr>
        <w:t>2.3.3 条件注入机制设计</w:t>
      </w:r>
    </w:p>
    <w:p>
      <w:pPr>
        <w:spacing w:line="360" w:lineRule="auto" w:before="0" w:after="0"/>
        <w:ind w:firstLine="420"/>
        <w:jc w:val="both"/>
      </w:pPr>
      <w:r>
        <w:rPr>
          <w:rFonts w:ascii="Times New Roman" w:hAnsi="Times New Roman" w:eastAsia="宋体"/>
          <w:b w:val="0"/>
          <w:sz w:val="24"/>
        </w:rPr>
        <w:t xml:space="preserve">设计 FiLM + VariateCrossAttention 的双重条件注入机制：FiLM 层通过可学习的缩放参数 γ 和平移参数 β 对去噪网络的特征进行调制，公式为 </w:t>
      </w:r>
      <m:oMath>
        <m:r>
          <m:t>h' = γ ⊙ h + β</m:t>
        </m:r>
      </m:oMath>
      <w:r>
        <w:rPr>
          <w:rFonts w:ascii="Times New Roman" w:hAnsi="Times New Roman" w:eastAsia="宋体"/>
          <w:b w:val="0"/>
          <w:sz w:val="24"/>
        </w:rPr>
        <w:t>，实现全局条件注入；变量交叉注意力使去噪网络的输出作为 Query，编码器特征作为 Key/Value，实现精细化的条件融合。双重机制结合了全局调控和局部依赖建模的优势。</w:t>
      </w:r>
    </w:p>
    <w:p>
      <w:pPr>
        <w:spacing w:line="360" w:lineRule="auto" w:before="240" w:after="120"/>
        <w:jc w:val="left"/>
      </w:pPr>
      <w:r>
        <w:rPr>
          <w:rFonts w:ascii="Times New Roman" w:hAnsi="Times New Roman" w:eastAsia="黑体"/>
          <w:b/>
          <w:sz w:val="32"/>
        </w:rPr>
        <w:t>2.4 实验设计</w:t>
      </w:r>
    </w:p>
    <w:p>
      <w:pPr>
        <w:spacing w:line="360" w:lineRule="auto" w:before="0" w:after="0"/>
        <w:ind w:firstLine="420"/>
        <w:jc w:val="both"/>
      </w:pPr>
      <w:r>
        <w:rPr>
          <w:rFonts w:ascii="Times New Roman" w:hAnsi="Times New Roman" w:eastAsia="宋体"/>
          <w:b w:val="0"/>
          <w:sz w:val="24"/>
        </w:rPr>
        <w:t>本研究使用 ETT（Electricity Transformer Temperature）系列数据集进行实验验证，包括 ETTh1/h2（小时级）和 ETTm1/m2（15分钟级），共 7 个变量，按 6:2:2 比例划分训练/验证/测试集。预测任务配置为历史窗口 96 步预测未来 96/192/336/720 步。</w:t>
      </w:r>
    </w:p>
    <w:p>
      <w:pPr>
        <w:spacing w:line="360" w:lineRule="auto" w:before="0" w:after="0"/>
        <w:ind w:firstLine="420"/>
        <w:jc w:val="both"/>
      </w:pPr>
      <w:r>
        <w:rPr>
          <w:rFonts w:ascii="Times New Roman" w:hAnsi="Times New Roman" w:eastAsia="宋体"/>
          <w:b w:val="0"/>
          <w:sz w:val="24"/>
        </w:rPr>
        <w:t>基线方法包括确定性方法（iTransformer、PatchTST、TimesNet、DLinear）和概率方法（TimeGrad、CSDI、D3VAE）。评估指标包括点预测指标（MSE、MAE）、概率预测指标（CRPS、Calibration、Sharpness）和效率指标（训练时间、推理速度）。所有实验重复 3 次，使用配对 t 检验判断改进显著性。</w:t>
      </w:r>
    </w:p>
    <w:p>
      <w:pPr>
        <w:spacing w:line="360" w:lineRule="auto" w:before="0" w:after="0"/>
        <w:ind w:firstLine="420"/>
        <w:jc w:val="both"/>
      </w:pPr>
      <w:r>
        <w:rPr>
          <w:rFonts w:ascii="Times New Roman" w:hAnsi="Times New Roman" w:eastAsia="宋体"/>
          <w:b w:val="0"/>
          <w:sz w:val="24"/>
        </w:rPr>
        <w:t>消融实验设计包括：参数化策略对比（x₀/ε/v）、训练策略对比（端到端 vs 两阶段）、条件机制消融（FiLM/CrossAttention）、聚合方法对比（均值 vs MoM）。</w:t>
      </w:r>
    </w:p>
    <w:p>
      <w:pPr>
        <w:spacing w:line="360" w:lineRule="auto" w:before="240" w:after="240"/>
        <w:jc w:val="center"/>
      </w:pPr>
      <w:r>
        <w:rPr>
          <w:rFonts w:ascii="Times New Roman" w:hAnsi="Times New Roman" w:eastAsia="黑体"/>
          <w:b/>
          <w:sz w:val="36"/>
        </w:rPr>
        <w:t>三、进度安排</w:t>
      </w:r>
    </w:p>
    <w:p>
      <w:pPr>
        <w:spacing w:line="360" w:lineRule="auto" w:before="0" w:after="0"/>
        <w:jc w:val="both"/>
      </w:pPr>
      <w:r>
        <w:rPr>
          <w:rFonts w:ascii="Times New Roman" w:hAnsi="Times New Roman" w:eastAsia="宋体"/>
          <w:b w:val="0"/>
          <w:sz w:val="24"/>
        </w:rPr>
        <w:t>本研究计划在 3 个月（12 周）内完成，具体进度安排如下：</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29"/>
        <w:gridCol w:w="2929"/>
        <w:gridCol w:w="2929"/>
      </w:tblGrid>
      <w:tr>
        <w:tc>
          <w:tcPr>
            <w:tcW w:type="dxa" w:w="2929"/>
          </w:tcPr>
          <w:p>
            <w:pPr>
              <w:jc w:val="center"/>
            </w:pPr>
            <w:r>
              <w:rPr>
                <w:rFonts w:ascii="Times New Roman" w:hAnsi="Times New Roman" w:eastAsia="黑体"/>
                <w:b/>
                <w:sz w:val="24"/>
              </w:rPr>
              <w:t>阶段</w:t>
            </w:r>
          </w:p>
        </w:tc>
        <w:tc>
          <w:tcPr>
            <w:tcW w:type="dxa" w:w="2929"/>
          </w:tcPr>
          <w:p>
            <w:pPr>
              <w:jc w:val="center"/>
            </w:pPr>
            <w:r>
              <w:rPr>
                <w:rFonts w:ascii="Times New Roman" w:hAnsi="Times New Roman" w:eastAsia="黑体"/>
                <w:b/>
                <w:sz w:val="24"/>
              </w:rPr>
              <w:t>周次</w:t>
            </w:r>
          </w:p>
        </w:tc>
        <w:tc>
          <w:tcPr>
            <w:tcW w:type="dxa" w:w="2929"/>
          </w:tcPr>
          <w:p>
            <w:pPr>
              <w:jc w:val="center"/>
            </w:pPr>
            <w:r>
              <w:rPr>
                <w:rFonts w:ascii="Times New Roman" w:hAnsi="Times New Roman" w:eastAsia="黑体"/>
                <w:b/>
                <w:sz w:val="24"/>
              </w:rPr>
              <w:t>主要任务与预期成果</w:t>
            </w:r>
          </w:p>
        </w:tc>
      </w:tr>
      <w:tr>
        <w:tc>
          <w:tcPr>
            <w:tcW w:type="dxa" w:w="2929"/>
          </w:tcPr>
          <w:p>
            <w:pPr>
              <w:jc w:val="center"/>
            </w:pPr>
            <w:r>
              <w:rPr>
                <w:rFonts w:ascii="Times New Roman" w:hAnsi="Times New Roman" w:eastAsia="宋体"/>
                <w:b w:val="0"/>
                <w:sz w:val="24"/>
              </w:rPr>
              <w:t>文献调研</w:t>
            </w:r>
          </w:p>
        </w:tc>
        <w:tc>
          <w:tcPr>
            <w:tcW w:type="dxa" w:w="2929"/>
          </w:tcPr>
          <w:p>
            <w:pPr>
              <w:jc w:val="center"/>
            </w:pPr>
            <w:r>
              <w:rPr>
                <w:rFonts w:ascii="Times New Roman" w:hAnsi="Times New Roman" w:eastAsia="宋体"/>
                <w:b w:val="0"/>
                <w:sz w:val="24"/>
              </w:rPr>
              <w:t>第1-2周</w:t>
            </w:r>
          </w:p>
        </w:tc>
        <w:tc>
          <w:tcPr>
            <w:tcW w:type="dxa" w:w="2929"/>
          </w:tcPr>
          <w:p>
            <w:pPr>
              <w:jc w:val="left"/>
            </w:pPr>
            <w:r>
              <w:rPr>
                <w:rFonts w:ascii="Times New Roman" w:hAnsi="Times New Roman" w:eastAsia="宋体"/>
                <w:b w:val="0"/>
                <w:sz w:val="24"/>
              </w:rPr>
              <w:t>阅读扩散模型和时序预测相关文献，整理研究现状</w:t>
            </w:r>
          </w:p>
        </w:tc>
      </w:tr>
      <w:tr>
        <w:tc>
          <w:tcPr>
            <w:tcW w:type="dxa" w:w="2929"/>
          </w:tcPr>
          <w:p>
            <w:pPr>
              <w:jc w:val="center"/>
            </w:pPr>
            <w:r>
              <w:rPr>
                <w:rFonts w:ascii="Times New Roman" w:hAnsi="Times New Roman" w:eastAsia="宋体"/>
                <w:b w:val="0"/>
                <w:sz w:val="24"/>
              </w:rPr>
              <w:t>理论分析</w:t>
            </w:r>
          </w:p>
        </w:tc>
        <w:tc>
          <w:tcPr>
            <w:tcW w:type="dxa" w:w="2929"/>
          </w:tcPr>
          <w:p>
            <w:pPr>
              <w:jc w:val="center"/>
            </w:pPr>
            <w:r>
              <w:rPr>
                <w:rFonts w:ascii="Times New Roman" w:hAnsi="Times New Roman" w:eastAsia="宋体"/>
                <w:b w:val="0"/>
                <w:sz w:val="24"/>
              </w:rPr>
              <w:t>第3周</w:t>
            </w:r>
          </w:p>
        </w:tc>
        <w:tc>
          <w:tcPr>
            <w:tcW w:type="dxa" w:w="2929"/>
          </w:tcPr>
          <w:p>
            <w:pPr>
              <w:jc w:val="left"/>
            </w:pPr>
            <w:r>
              <w:rPr>
                <w:rFonts w:ascii="Times New Roman" w:hAnsi="Times New Roman" w:eastAsia="宋体"/>
                <w:b w:val="0"/>
                <w:sz w:val="24"/>
              </w:rPr>
              <w:t>分析直接预测 vs 残差预测，推导参数化数学关系</w:t>
            </w:r>
          </w:p>
        </w:tc>
      </w:tr>
      <w:tr>
        <w:tc>
          <w:tcPr>
            <w:tcW w:type="dxa" w:w="2929"/>
          </w:tcPr>
          <w:p>
            <w:pPr>
              <w:jc w:val="center"/>
            </w:pPr>
            <w:r>
              <w:rPr>
                <w:rFonts w:ascii="Times New Roman" w:hAnsi="Times New Roman" w:eastAsia="宋体"/>
                <w:b w:val="0"/>
                <w:sz w:val="24"/>
              </w:rPr>
              <w:t>模型实现</w:t>
            </w:r>
          </w:p>
        </w:tc>
        <w:tc>
          <w:tcPr>
            <w:tcW w:type="dxa" w:w="2929"/>
          </w:tcPr>
          <w:p>
            <w:pPr>
              <w:jc w:val="center"/>
            </w:pPr>
            <w:r>
              <w:rPr>
                <w:rFonts w:ascii="Times New Roman" w:hAnsi="Times New Roman" w:eastAsia="宋体"/>
                <w:b w:val="0"/>
                <w:sz w:val="24"/>
              </w:rPr>
              <w:t>第4-6周</w:t>
            </w:r>
          </w:p>
        </w:tc>
        <w:tc>
          <w:tcPr>
            <w:tcW w:type="dxa" w:w="2929"/>
          </w:tcPr>
          <w:p>
            <w:pPr>
              <w:jc w:val="left"/>
            </w:pPr>
            <w:r>
              <w:rPr>
                <w:rFonts w:ascii="Times New Roman" w:hAnsi="Times New Roman" w:eastAsia="宋体"/>
                <w:b w:val="0"/>
                <w:sz w:val="24"/>
              </w:rPr>
              <w:t>实现 iDiffFormer 核心模块，代码调试与单元测试</w:t>
            </w:r>
          </w:p>
        </w:tc>
      </w:tr>
      <w:tr>
        <w:tc>
          <w:tcPr>
            <w:tcW w:type="dxa" w:w="2929"/>
          </w:tcPr>
          <w:p>
            <w:pPr>
              <w:jc w:val="center"/>
            </w:pPr>
            <w:r>
              <w:rPr>
                <w:rFonts w:ascii="Times New Roman" w:hAnsi="Times New Roman" w:eastAsia="宋体"/>
                <w:b w:val="0"/>
                <w:sz w:val="24"/>
              </w:rPr>
              <w:t>基线复现</w:t>
            </w:r>
          </w:p>
        </w:tc>
        <w:tc>
          <w:tcPr>
            <w:tcW w:type="dxa" w:w="2929"/>
          </w:tcPr>
          <w:p>
            <w:pPr>
              <w:jc w:val="center"/>
            </w:pPr>
            <w:r>
              <w:rPr>
                <w:rFonts w:ascii="Times New Roman" w:hAnsi="Times New Roman" w:eastAsia="宋体"/>
                <w:b w:val="0"/>
                <w:sz w:val="24"/>
              </w:rPr>
              <w:t>第7周</w:t>
            </w:r>
          </w:p>
        </w:tc>
        <w:tc>
          <w:tcPr>
            <w:tcW w:type="dxa" w:w="2929"/>
          </w:tcPr>
          <w:p>
            <w:pPr>
              <w:jc w:val="left"/>
            </w:pPr>
            <w:r>
              <w:rPr>
                <w:rFonts w:ascii="Times New Roman" w:hAnsi="Times New Roman" w:eastAsia="宋体"/>
                <w:b w:val="0"/>
                <w:sz w:val="24"/>
              </w:rPr>
              <w:t>复现 iTransformer 基线，统一评估框架</w:t>
            </w:r>
          </w:p>
        </w:tc>
      </w:tr>
      <w:tr>
        <w:tc>
          <w:tcPr>
            <w:tcW w:type="dxa" w:w="2929"/>
          </w:tcPr>
          <w:p>
            <w:pPr>
              <w:jc w:val="center"/>
            </w:pPr>
            <w:r>
              <w:rPr>
                <w:rFonts w:ascii="Times New Roman" w:hAnsi="Times New Roman" w:eastAsia="宋体"/>
                <w:b w:val="0"/>
                <w:sz w:val="24"/>
              </w:rPr>
              <w:t>主实验</w:t>
            </w:r>
          </w:p>
        </w:tc>
        <w:tc>
          <w:tcPr>
            <w:tcW w:type="dxa" w:w="2929"/>
          </w:tcPr>
          <w:p>
            <w:pPr>
              <w:jc w:val="center"/>
            </w:pPr>
            <w:r>
              <w:rPr>
                <w:rFonts w:ascii="Times New Roman" w:hAnsi="Times New Roman" w:eastAsia="宋体"/>
                <w:b w:val="0"/>
                <w:sz w:val="24"/>
              </w:rPr>
              <w:t>第8-9周</w:t>
            </w:r>
          </w:p>
        </w:tc>
        <w:tc>
          <w:tcPr>
            <w:tcW w:type="dxa" w:w="2929"/>
          </w:tcPr>
          <w:p>
            <w:pPr>
              <w:jc w:val="left"/>
            </w:pPr>
            <w:r>
              <w:rPr>
                <w:rFonts w:ascii="Times New Roman" w:hAnsi="Times New Roman" w:eastAsia="宋体"/>
                <w:b w:val="0"/>
                <w:sz w:val="24"/>
              </w:rPr>
              <w:t>ETTh1/h2 数据集实验，指标评估</w:t>
            </w:r>
          </w:p>
        </w:tc>
      </w:tr>
      <w:tr>
        <w:tc>
          <w:tcPr>
            <w:tcW w:type="dxa" w:w="2929"/>
          </w:tcPr>
          <w:p>
            <w:pPr>
              <w:jc w:val="center"/>
            </w:pPr>
            <w:r>
              <w:rPr>
                <w:rFonts w:ascii="Times New Roman" w:hAnsi="Times New Roman" w:eastAsia="宋体"/>
                <w:b w:val="0"/>
                <w:sz w:val="24"/>
              </w:rPr>
              <w:t>消融实验</w:t>
            </w:r>
          </w:p>
        </w:tc>
        <w:tc>
          <w:tcPr>
            <w:tcW w:type="dxa" w:w="2929"/>
          </w:tcPr>
          <w:p>
            <w:pPr>
              <w:jc w:val="center"/>
            </w:pPr>
            <w:r>
              <w:rPr>
                <w:rFonts w:ascii="Times New Roman" w:hAnsi="Times New Roman" w:eastAsia="宋体"/>
                <w:b w:val="0"/>
                <w:sz w:val="24"/>
              </w:rPr>
              <w:t>第10周</w:t>
            </w:r>
          </w:p>
        </w:tc>
        <w:tc>
          <w:tcPr>
            <w:tcW w:type="dxa" w:w="2929"/>
          </w:tcPr>
          <w:p>
            <w:pPr>
              <w:jc w:val="left"/>
            </w:pPr>
            <w:r>
              <w:rPr>
                <w:rFonts w:ascii="Times New Roman" w:hAnsi="Times New Roman" w:eastAsia="宋体"/>
                <w:b w:val="0"/>
                <w:sz w:val="24"/>
              </w:rPr>
              <w:t>参数化策略、训练策略、条件机制消融</w:t>
            </w:r>
          </w:p>
        </w:tc>
      </w:tr>
      <w:tr>
        <w:tc>
          <w:tcPr>
            <w:tcW w:type="dxa" w:w="2929"/>
          </w:tcPr>
          <w:p>
            <w:pPr>
              <w:jc w:val="center"/>
            </w:pPr>
            <w:r>
              <w:rPr>
                <w:rFonts w:ascii="Times New Roman" w:hAnsi="Times New Roman" w:eastAsia="宋体"/>
                <w:b w:val="0"/>
                <w:sz w:val="24"/>
              </w:rPr>
              <w:t>论文撰写</w:t>
            </w:r>
          </w:p>
        </w:tc>
        <w:tc>
          <w:tcPr>
            <w:tcW w:type="dxa" w:w="2929"/>
          </w:tcPr>
          <w:p>
            <w:pPr>
              <w:jc w:val="center"/>
            </w:pPr>
            <w:r>
              <w:rPr>
                <w:rFonts w:ascii="Times New Roman" w:hAnsi="Times New Roman" w:eastAsia="宋体"/>
                <w:b w:val="0"/>
                <w:sz w:val="24"/>
              </w:rPr>
              <w:t>第11周</w:t>
            </w:r>
          </w:p>
        </w:tc>
        <w:tc>
          <w:tcPr>
            <w:tcW w:type="dxa" w:w="2929"/>
          </w:tcPr>
          <w:p>
            <w:pPr>
              <w:jc w:val="left"/>
            </w:pPr>
            <w:r>
              <w:rPr>
                <w:rFonts w:ascii="Times New Roman" w:hAnsi="Times New Roman" w:eastAsia="宋体"/>
                <w:b w:val="0"/>
                <w:sz w:val="24"/>
              </w:rPr>
              <w:t>撰写摘要、引言、方法设计、实验章节</w:t>
            </w:r>
          </w:p>
        </w:tc>
      </w:tr>
      <w:tr>
        <w:tc>
          <w:tcPr>
            <w:tcW w:type="dxa" w:w="2929"/>
          </w:tcPr>
          <w:p>
            <w:pPr>
              <w:jc w:val="center"/>
            </w:pPr>
            <w:r>
              <w:rPr>
                <w:rFonts w:ascii="Times New Roman" w:hAnsi="Times New Roman" w:eastAsia="宋体"/>
                <w:b w:val="0"/>
                <w:sz w:val="24"/>
              </w:rPr>
              <w:t>修改完善</w:t>
            </w:r>
          </w:p>
        </w:tc>
        <w:tc>
          <w:tcPr>
            <w:tcW w:type="dxa" w:w="2929"/>
          </w:tcPr>
          <w:p>
            <w:pPr>
              <w:jc w:val="center"/>
            </w:pPr>
            <w:r>
              <w:rPr>
                <w:rFonts w:ascii="Times New Roman" w:hAnsi="Times New Roman" w:eastAsia="宋体"/>
                <w:b w:val="0"/>
                <w:sz w:val="24"/>
              </w:rPr>
              <w:t>第12周</w:t>
            </w:r>
          </w:p>
        </w:tc>
        <w:tc>
          <w:tcPr>
            <w:tcW w:type="dxa" w:w="2929"/>
          </w:tcPr>
          <w:p>
            <w:pPr>
              <w:jc w:val="left"/>
            </w:pPr>
            <w:r>
              <w:rPr>
                <w:rFonts w:ascii="Times New Roman" w:hAnsi="Times New Roman" w:eastAsia="宋体"/>
                <w:b w:val="0"/>
                <w:sz w:val="24"/>
              </w:rPr>
              <w:t>论文修改润色，准备答辩材料</w:t>
            </w:r>
          </w:p>
        </w:tc>
      </w:tr>
    </w:tbl>
    <w:p>
      <w:pPr>
        <w:spacing w:line="360" w:lineRule="auto" w:before="240" w:after="240"/>
        <w:jc w:val="center"/>
      </w:pPr>
      <w:r>
        <w:rPr>
          <w:rFonts w:ascii="Times New Roman" w:hAnsi="Times New Roman" w:eastAsia="黑体"/>
          <w:b/>
          <w:sz w:val="36"/>
        </w:rPr>
        <w:t>四、参考文献</w:t>
      </w:r>
    </w:p>
    <w:p>
      <w:pPr>
        <w:spacing w:line="300" w:lineRule="auto" w:before="0" w:after="60"/>
        <w:jc w:val="left"/>
      </w:pPr>
      <w:r>
        <w:rPr>
          <w:rFonts w:ascii="Times New Roman" w:hAnsi="Times New Roman" w:eastAsia="宋体"/>
          <w:b w:val="0"/>
          <w:sz w:val="21"/>
        </w:rPr>
        <w:t>[1] HO J, JAIN A, ABBEEL P. Denoising diffusion probabilistic models[C]//Advances in Neural Information Processing Systems 33. Red Hook: Curran Associates, 2020: 6840-6851.</w:t>
      </w:r>
    </w:p>
    <w:p>
      <w:pPr>
        <w:spacing w:line="300" w:lineRule="auto" w:before="0" w:after="60"/>
        <w:jc w:val="left"/>
      </w:pPr>
      <w:r>
        <w:rPr>
          <w:rFonts w:ascii="Times New Roman" w:hAnsi="Times New Roman" w:eastAsia="宋体"/>
          <w:b w:val="0"/>
          <w:sz w:val="21"/>
        </w:rPr>
        <w:t>[2] SONG J, MENG C, ERMON S. Denoising diffusion implicit models[C]//International Conference on Learning Representations. [S.l.]: OpenReview.net, 2021.</w:t>
      </w:r>
    </w:p>
    <w:p>
      <w:pPr>
        <w:spacing w:line="300" w:lineRule="auto" w:before="0" w:after="60"/>
        <w:jc w:val="left"/>
      </w:pPr>
      <w:r>
        <w:rPr>
          <w:rFonts w:ascii="Times New Roman" w:hAnsi="Times New Roman" w:eastAsia="宋体"/>
          <w:b w:val="0"/>
          <w:sz w:val="21"/>
        </w:rPr>
        <w:t>[3] SALIMANS T, HO J. Progressive distillation for fast sampling of diffusion models[C]//International Conference on Learning Representations. [S.l.]: OpenReview.net, 2022.</w:t>
      </w:r>
    </w:p>
    <w:p>
      <w:pPr>
        <w:spacing w:line="300" w:lineRule="auto" w:before="0" w:after="60"/>
        <w:jc w:val="left"/>
      </w:pPr>
      <w:r>
        <w:rPr>
          <w:rFonts w:ascii="Times New Roman" w:hAnsi="Times New Roman" w:eastAsia="宋体"/>
          <w:b w:val="0"/>
          <w:sz w:val="21"/>
        </w:rPr>
        <w:t>[4] LIU Y, HU T, ZHANG H, et al. iTransformer: Inverted transformers are effective for time series forecasting[C]//International Conference on Learning Representations. [S.l.]: OpenReview.net, 2024.</w:t>
      </w:r>
    </w:p>
    <w:p>
      <w:pPr>
        <w:spacing w:line="300" w:lineRule="auto" w:before="0" w:after="60"/>
        <w:jc w:val="left"/>
      </w:pPr>
      <w:r>
        <w:rPr>
          <w:rFonts w:ascii="Times New Roman" w:hAnsi="Times New Roman" w:eastAsia="宋体"/>
          <w:b w:val="0"/>
          <w:sz w:val="21"/>
        </w:rPr>
        <w:t>[5] RASUL K, SEWARD C, SCHUSTER I, et al. Autoregressive denoising diffusion models for multivariate probabilistic time series forecasting[C]//Proceedings of the 38th ICML. [S.l.]: PMLR, 2021: 8857-8868.</w:t>
      </w:r>
    </w:p>
    <w:p>
      <w:pPr>
        <w:spacing w:line="300" w:lineRule="auto" w:before="0" w:after="60"/>
        <w:jc w:val="left"/>
      </w:pPr>
      <w:r>
        <w:rPr>
          <w:rFonts w:ascii="Times New Roman" w:hAnsi="Times New Roman" w:eastAsia="宋体"/>
          <w:b w:val="0"/>
          <w:sz w:val="21"/>
        </w:rPr>
        <w:t>[6] TASHIRO Y, SONG J, SONG Y, et al. CSDI: Conditional score-based diffusion models for probabilistic time series imputation[C]//NeurIPS 34. Red Hook: Curran Associates, 2021: 24804-24816.</w:t>
      </w:r>
    </w:p>
    <w:p>
      <w:pPr>
        <w:spacing w:line="300" w:lineRule="auto" w:before="0" w:after="60"/>
        <w:jc w:val="left"/>
      </w:pPr>
      <w:r>
        <w:rPr>
          <w:rFonts w:ascii="Times New Roman" w:hAnsi="Times New Roman" w:eastAsia="宋体"/>
          <w:b w:val="0"/>
          <w:sz w:val="21"/>
        </w:rPr>
        <w:t>[7] LI Y, LU X, WANG Y, et al. Generative time series forecasting with diffusion, denoise, and disentanglement[C]//NeurIPS 35. Red Hook: Curran Associates, 2022: 23009-23022.</w:t>
      </w:r>
    </w:p>
    <w:p>
      <w:pPr>
        <w:spacing w:line="300" w:lineRule="auto" w:before="0" w:after="60"/>
        <w:jc w:val="left"/>
      </w:pPr>
      <w:r>
        <w:rPr>
          <w:rFonts w:ascii="Times New Roman" w:hAnsi="Times New Roman" w:eastAsia="宋体"/>
          <w:b w:val="0"/>
          <w:sz w:val="21"/>
        </w:rPr>
        <w:t>[8] ZHOU H, ZHANG S, PENG J, et al. Informer: Beyond efficient transformer for long sequence time-series forecasting[C]//AAAI 2021. Menlo Park: AAAI Press, 2021: 11106-11115.</w:t>
      </w:r>
    </w:p>
    <w:p>
      <w:pPr>
        <w:spacing w:line="300" w:lineRule="auto" w:before="0" w:after="60"/>
        <w:jc w:val="left"/>
      </w:pPr>
      <w:r>
        <w:rPr>
          <w:rFonts w:ascii="Times New Roman" w:hAnsi="Times New Roman" w:eastAsia="宋体"/>
          <w:b w:val="0"/>
          <w:sz w:val="21"/>
        </w:rPr>
        <w:t>[9] WU H, XU J, WANG J, et al. Autoformer: Decomposition transformers with auto-correlation for long-term series forecasting[C]//NeurIPS 34. Red Hook: Curran Associates, 2021: 22419-22430.</w:t>
      </w:r>
    </w:p>
    <w:p>
      <w:pPr>
        <w:spacing w:line="300" w:lineRule="auto" w:before="0" w:after="60"/>
        <w:jc w:val="left"/>
      </w:pPr>
      <w:r>
        <w:rPr>
          <w:rFonts w:ascii="Times New Roman" w:hAnsi="Times New Roman" w:eastAsia="宋体"/>
          <w:b w:val="0"/>
          <w:sz w:val="21"/>
        </w:rPr>
        <w:t>[10] ZHOU T, MA Z, WEN Q, et al. FEDformer: Frequency enhanced decomposed transformer for long-term series forecasting[C]//ICML 2022. [S.l.]: PMLR, 2022: 27268-27286.</w:t>
      </w:r>
    </w:p>
    <w:p>
      <w:pPr>
        <w:spacing w:line="300" w:lineRule="auto" w:before="0" w:after="60"/>
        <w:jc w:val="left"/>
      </w:pPr>
      <w:r>
        <w:rPr>
          <w:rFonts w:ascii="Times New Roman" w:hAnsi="Times New Roman" w:eastAsia="宋体"/>
          <w:b w:val="0"/>
          <w:sz w:val="21"/>
        </w:rPr>
        <w:t>[11] NIE Y, NGUYEN N H, SINTHONG P, et al. A time series is worth 64 words: Long-term forecasting with transformers[C]//ICLR. [S.l.]: OpenReview.net, 2023.</w:t>
      </w:r>
    </w:p>
    <w:p>
      <w:pPr>
        <w:spacing w:line="300" w:lineRule="auto" w:before="0" w:after="60"/>
        <w:jc w:val="left"/>
      </w:pPr>
      <w:r>
        <w:rPr>
          <w:rFonts w:ascii="Times New Roman" w:hAnsi="Times New Roman" w:eastAsia="宋体"/>
          <w:b w:val="0"/>
          <w:sz w:val="21"/>
        </w:rPr>
        <w:t>[12] WU H, HU T, LIU Y, et al. TimesNet: Temporal 2D-variation modeling for general time series analysis[C]//ICLR. [S.l.]: OpenReview.net, 2023.</w:t>
      </w:r>
    </w:p>
    <w:p>
      <w:pPr>
        <w:spacing w:line="300" w:lineRule="auto" w:before="0" w:after="60"/>
        <w:jc w:val="left"/>
      </w:pPr>
      <w:r>
        <w:rPr>
          <w:rFonts w:ascii="Times New Roman" w:hAnsi="Times New Roman" w:eastAsia="宋体"/>
          <w:b w:val="0"/>
          <w:sz w:val="21"/>
        </w:rPr>
        <w:t>[13] DHARIWAL P, NICHOL A. Diffusion models beat GANs on image synthesis[C]//NeurIPS 34. Red Hook: Curran Associates, 2021: 8780-8794.</w:t>
      </w:r>
    </w:p>
    <w:p>
      <w:pPr>
        <w:spacing w:line="300" w:lineRule="auto" w:before="0" w:after="60"/>
        <w:jc w:val="left"/>
      </w:pPr>
      <w:r>
        <w:rPr>
          <w:rFonts w:ascii="Times New Roman" w:hAnsi="Times New Roman" w:eastAsia="宋体"/>
          <w:b w:val="0"/>
          <w:sz w:val="21"/>
        </w:rPr>
        <w:t>[14] ROMBACH R, BLATTMANN A, LORENZ D, et al. High-resolution image synthesis with latent diffusion models[C]//CVPR 2022. Piscataway: IEEE, 2022: 10684-10695.</w:t>
      </w:r>
    </w:p>
    <w:p>
      <w:pPr>
        <w:spacing w:line="300" w:lineRule="auto" w:before="0" w:after="60"/>
        <w:jc w:val="left"/>
      </w:pPr>
      <w:r>
        <w:rPr>
          <w:rFonts w:ascii="Times New Roman" w:hAnsi="Times New Roman" w:eastAsia="宋体"/>
          <w:b w:val="0"/>
          <w:sz w:val="21"/>
        </w:rPr>
        <w:t>[15] KOLLOVIEH M, ANSARI A F, BOHLKE-SCHNEIDER M, et al. Predict, refine, synthesize: Self-guiding diffusion models for probabilistic time series forecasting[C]//NeurIPS 36. Red Hook: Curran Associates, 2023.</w:t>
      </w:r>
    </w:p>
    <w:p>
      <w:pPr>
        <w:spacing w:line="300" w:lineRule="auto" w:before="0" w:after="60"/>
        <w:jc w:val="left"/>
      </w:pPr>
      <w:r>
        <w:rPr>
          <w:rFonts w:ascii="Times New Roman" w:hAnsi="Times New Roman" w:eastAsia="宋体"/>
          <w:b w:val="0"/>
          <w:sz w:val="21"/>
        </w:rPr>
        <w:t>[16] GNEITING T, RAFTERY A E. Strictly proper scoring rules, prediction, and estimation[J]. Journal of the American Statistical Association, 2007, 102(477): 359-378.</w:t>
      </w:r>
    </w:p>
    <w:p>
      <w:pPr>
        <w:spacing w:line="300" w:lineRule="auto" w:before="0" w:after="60"/>
        <w:jc w:val="left"/>
      </w:pPr>
      <w:r>
        <w:rPr>
          <w:rFonts w:ascii="Times New Roman" w:hAnsi="Times New Roman" w:eastAsia="宋体"/>
          <w:b w:val="0"/>
          <w:sz w:val="21"/>
        </w:rPr>
        <w:t>[17] VASWANI A, SHAZEER N, PARMAR N, et al. Attention is all you need[C]//NeurIPS 30. Red Hook: Curran Associates, 2017: 5998-6008.</w:t>
      </w:r>
    </w:p>
    <w:sectPr w:rsidR="00FC693F" w:rsidRPr="0006063C" w:rsidSect="00034616">
      <w:pgSz w:w="11906" w:h="16838"/>
      <w:pgMar w:top="1701" w:right="1531" w:bottom="147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