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36"/>
          <w:szCs w:val="36"/>
        </w:rPr>
        <w:t xml:space="preserve">Brady, Giglio, and the August 22, 2025 Body Cam</w:t>
      </w:r>
    </w:p>
    <w:p>
      <w:pPr>
        <w:spacing w:after="360"/>
        <w:jc w:val="center"/>
      </w:pPr>
      <w:r>
        <w:rPr>
          <w:rFonts w:ascii="Calibri" w:cs="Calibri" w:eastAsia="Calibri" w:hAnsi="Calibri"/>
          <w:i/>
          <w:iCs/>
          <w:color w:val="404040"/>
          <w:sz w:val="26"/>
          <w:szCs w:val="26"/>
        </w:rPr>
        <w:t xml:space="preserve">A Disclosure Obligation Analysis</w:t>
      </w:r>
    </w:p>
    <w:p>
      <w:pPr>
        <w:spacing w:after="80"/>
        <w:jc w:val="left"/>
      </w:pPr>
      <w:r>
        <w:rPr>
          <w:b/>
          <w:bCs/>
        </w:rPr>
        <w:t xml:space="preserve">Prepared for: </w:t>
      </w:r>
      <w:r>
        <w:t xml:space="preserve">Justin H. Horn</w:t>
      </w:r>
    </w:p>
    <w:p>
      <w:pPr>
        <w:spacing w:after="80"/>
        <w:jc w:val="left"/>
      </w:pPr>
      <w:r>
        <w:rPr>
          <w:b/>
          <w:bCs/>
        </w:rPr>
        <w:t xml:space="preserve">Re: </w:t>
      </w:r>
      <w:r>
        <w:t xml:space="preserve">Commonwealth v. Talley, CP-51-CR-0000673-2026</w:t>
      </w:r>
    </w:p>
    <w:p>
      <w:pPr>
        <w:spacing w:after="240"/>
        <w:jc w:val="left"/>
      </w:pPr>
      <w:r>
        <w:rPr>
          <w:b/>
          <w:bCs/>
        </w:rPr>
        <w:t xml:space="preserve">Date: </w:t>
      </w:r>
      <w:r>
        <w:t xml:space="preserve">May 15, 2026</w:t>
      </w:r>
    </w:p>
    <w:p>
      <w:pPr>
        <w:pBdr>
          <w:bottom w:val="single" w:color="999999" w:sz="6" w:space="1"/>
        </w:pBdr>
        <w:spacing w:after="240" w:before="120"/>
      </w:pPr>
    </w:p>
    <w:p>
      <w:pPr>
        <w:pStyle w:val="Heading1"/>
        <w:spacing w:after="200" w:before="360"/>
      </w:pPr>
      <w:r>
        <w:t xml:space="preserve">Introduction</w:t>
      </w:r>
    </w:p>
    <w:p>
      <w:pPr>
        <w:spacing w:after="160" w:line="300"/>
        <w:jc w:val="both"/>
      </w:pPr>
      <w:r>
        <w:t xml:space="preserve">This report explains two foundational U.S. Supreme Court decisions that define the prosecution's obligation to disclose evidence to the defense — Brady v. Maryland and Giglio v. United States — and then applies that framework to the documented facts of the August 22, 2025 assault inside 315 N. 12th Street, Philadelphia, the subsequent police response, and the conduct of the Philadelphia Police Department and the Philadelphia District Attorney's Office in the months that followed.</w:t>
      </w:r>
    </w:p>
    <w:p>
      <w:pPr>
        <w:spacing w:after="160" w:line="300"/>
        <w:jc w:val="both"/>
      </w:pPr>
      <w:r>
        <w:t xml:space="preserve">The principal finding is that the body camera footage from the responding officer on August 22, 2025 is Brady material, that statements made by Greystar Real Estate Partners staff to that officer are Giglio material, and that the disclosure obligation rests with the District Attorney's Office independent of how the material reflects on the original investigation by PPD.</w:t>
      </w:r>
    </w:p>
    <w:p>
      <w:pPr>
        <w:pStyle w:val="Heading1"/>
        <w:spacing w:after="200" w:before="360"/>
      </w:pPr>
      <w:r>
        <w:t xml:space="preserve">Part I — Brady v. Maryland (1963)</w:t>
      </w:r>
    </w:p>
    <w:p>
      <w:pPr>
        <w:pStyle w:val="Heading2"/>
        <w:spacing w:after="160" w:before="280"/>
      </w:pPr>
      <w:r>
        <w:t xml:space="preserve">The Holding</w:t>
      </w:r>
    </w:p>
    <w:p>
      <w:pPr>
        <w:spacing w:after="160" w:line="300"/>
        <w:jc w:val="both"/>
      </w:pPr>
      <w:r>
        <w:rPr>
          <w:i/>
          <w:iCs/>
        </w:rPr>
        <w:t xml:space="preserve">Brady v. Maryland</w:t>
      </w:r>
      <w:r>
        <w:t xml:space="preserve">, 373 U.S. 83 (1963), is the foundational case on prosecutorial disclosure. The defendant John Brady had been convicted of first-degree murder. After conviction, his counsel discovered that the prosecution had withheld a statement from Brady's accomplice in which the accomplice — not Brady — admitted to the actual killing. The U.S. Supreme Court reversed.</w:t>
      </w:r>
    </w:p>
    <w:p>
      <w:pPr>
        <w:spacing w:after="160" w:line="300"/>
        <w:jc w:val="both"/>
      </w:pPr>
      <w:r>
        <w:t xml:space="preserve">The holding: </w:t>
      </w:r>
      <w:r>
        <w:rPr>
          <w:i/>
          <w:iCs/>
        </w:rPr>
        <w:t xml:space="preserve">“the suppression by the prosecution of evidence favorable to an accused upon request violates due process where the evidence is material either to guilt or to punishment, irrespective of the good faith or bad faith of the prosecution.”</w:t>
      </w:r>
    </w:p>
    <w:p>
      <w:pPr>
        <w:spacing w:after="160" w:line="300"/>
        <w:jc w:val="both"/>
      </w:pPr>
      <w:r>
        <w:t xml:space="preserve">Three elements define a Brady violation:</w:t>
      </w:r>
    </w:p>
    <w:p>
      <w:pPr>
        <w:pStyle w:val="ListParagraph"/>
        <w:numPr>
          <w:ilvl w:val="0"/>
          <w:numId w:val="2"/>
        </w:numPr>
        <w:spacing w:after="100" w:line="300"/>
        <w:jc w:val="left"/>
      </w:pPr>
      <w:r>
        <w:t xml:space="preserve">The evidence is </w:t>
      </w:r>
      <w:r>
        <w:rPr>
          <w:b/>
          <w:bCs/>
        </w:rPr>
        <w:t xml:space="preserve">favorable to the accused</w:t>
      </w:r>
      <w:r>
        <w:t xml:space="preserve"> — either because it is exculpatory (tends to show the defendant did not commit the offense) or because it is mitigating (tends to reduce the severity of the offense or punishment).</w:t>
      </w:r>
    </w:p>
    <w:p>
      <w:pPr>
        <w:pStyle w:val="ListParagraph"/>
        <w:numPr>
          <w:ilvl w:val="0"/>
          <w:numId w:val="2"/>
        </w:numPr>
        <w:spacing w:after="100" w:line="300"/>
        <w:jc w:val="left"/>
      </w:pPr>
      <w:r>
        <w:t xml:space="preserve">The evidence is </w:t>
      </w:r>
      <w:r>
        <w:rPr>
          <w:b/>
          <w:bCs/>
        </w:rPr>
        <w:t xml:space="preserve">suppressed by the prosecution</w:t>
      </w:r>
      <w:r>
        <w:t xml:space="preserve"> — either willfully or inadvertently. Good faith does not cure suppression.</w:t>
      </w:r>
    </w:p>
    <w:p>
      <w:pPr>
        <w:pStyle w:val="ListParagraph"/>
        <w:numPr>
          <w:ilvl w:val="0"/>
          <w:numId w:val="2"/>
        </w:numPr>
        <w:spacing w:after="100" w:line="300"/>
        <w:jc w:val="left"/>
      </w:pPr>
      <w:r>
        <w:rPr>
          <w:b/>
          <w:bCs/>
        </w:rPr>
        <w:t xml:space="preserve">Prejudice</w:t>
      </w:r>
      <w:r>
        <w:t xml:space="preserve"> results from the suppression — the evidence is “material,” meaning there is a reasonable probability that disclosure would have produced a different outcome.</w:t>
      </w:r>
    </w:p>
    <w:p>
      <w:pPr>
        <w:pStyle w:val="Heading2"/>
        <w:spacing w:after="160" w:before="280"/>
      </w:pPr>
      <w:r>
        <w:t xml:space="preserve">Scope of the Duty</w:t>
      </w:r>
    </w:p>
    <w:p>
      <w:pPr>
        <w:spacing w:after="160" w:line="300"/>
        <w:jc w:val="both"/>
      </w:pPr>
      <w:r>
        <w:t xml:space="preserve">Brady's reach extends beyond the prosecutor's personal knowledge. The disclosure duty applies to evidence in the possession of the prosecution team, which the Supreme Court clarified in </w:t>
      </w:r>
      <w:r>
        <w:rPr>
          <w:i/>
          <w:iCs/>
        </w:rPr>
        <w:t xml:space="preserve">Kyles v. Whitley</w:t>
      </w:r>
      <w:r>
        <w:t xml:space="preserve">, 514 U.S. 419 (1995), to include law enforcement agencies working on the case. A prosecutor's claim that they personally did not know what police had does not cure a Brady violation. The prosecutor bears the affirmative obligation to learn of, and disclose, favorable evidence held anywhere within the prosecution team.</w:t>
      </w:r>
    </w:p>
    <w:p>
      <w:pPr>
        <w:spacing w:after="160" w:line="300"/>
        <w:jc w:val="both"/>
      </w:pPr>
      <w:r>
        <w:t xml:space="preserve">This is the critical doctrinal point: </w:t>
      </w:r>
      <w:r>
        <w:rPr>
          <w:b/>
          <w:bCs/>
        </w:rPr>
        <w:t xml:space="preserve">if PPD holds the body cam and the DA has not pulled it, the DA is still on the hook.</w:t>
      </w:r>
      <w:r>
        <w:t xml:space="preserve"> PPD is part of the prosecution team. Their possession is the prosecution's possession.</w:t>
      </w:r>
    </w:p>
    <w:p>
      <w:pPr>
        <w:pStyle w:val="Heading2"/>
        <w:spacing w:after="160" w:before="280"/>
      </w:pPr>
      <w:r>
        <w:t xml:space="preserve">Timing of Disclosure</w:t>
      </w:r>
    </w:p>
    <w:p>
      <w:pPr>
        <w:spacing w:after="160" w:line="300"/>
        <w:jc w:val="both"/>
      </w:pPr>
      <w:r>
        <w:t xml:space="preserve">Brady disclosure must occur in time for the defense to use the evidence effectively at trial. Late disclosure that prevents meaningful use is itself a violation. In Pennsylvania, the rule is codified in Pa.R.Crim.P. 573, which requires the Commonwealth to disclose discoverable material upon request, with specific timing obligations enforceable by the trial court.</w:t>
      </w:r>
    </w:p>
    <w:p>
      <w:pPr>
        <w:pStyle w:val="Heading1"/>
        <w:spacing w:after="200" w:before="360"/>
      </w:pPr>
      <w:r>
        <w:t xml:space="preserve">Part II — Giglio v. United States (1972)</w:t>
      </w:r>
    </w:p>
    <w:p>
      <w:pPr>
        <w:pStyle w:val="Heading2"/>
        <w:spacing w:after="160" w:before="280"/>
      </w:pPr>
      <w:r>
        <w:t xml:space="preserve">The Holding</w:t>
      </w:r>
    </w:p>
    <w:p>
      <w:pPr>
        <w:spacing w:after="160" w:line="300"/>
        <w:jc w:val="both"/>
      </w:pPr>
      <w:r>
        <w:rPr>
          <w:i/>
          <w:iCs/>
        </w:rPr>
        <w:t xml:space="preserve">Giglio v. United States</w:t>
      </w:r>
      <w:r>
        <w:t xml:space="preserve">, 405 U.S. 150 (1972), extended Brady to impeachment evidence — material that could be used to attack the credibility of a prosecution witness.</w:t>
      </w:r>
    </w:p>
    <w:p>
      <w:pPr>
        <w:spacing w:after="160" w:line="300"/>
        <w:jc w:val="both"/>
      </w:pPr>
      <w:r>
        <w:t xml:space="preserve">The facts: a key prosecution witness, Robert Taliento, had been promised immunity in exchange for his testimony against John Giglio. The Assistant U.S. Attorney who made the promise did not communicate it to the trial AUSA, who in turn affirmatively represented to the jury that no promises had been made. The Supreme Court reversed Giglio's conviction.</w:t>
      </w:r>
    </w:p>
    <w:p>
      <w:pPr>
        <w:spacing w:after="160" w:line="300"/>
        <w:jc w:val="both"/>
      </w:pPr>
      <w:r>
        <w:t xml:space="preserve">The Giglio rule: when the credibility of a witness </w:t>
      </w:r>
      <w:r>
        <w:rPr>
          <w:i/>
          <w:iCs/>
        </w:rPr>
        <w:t xml:space="preserve">“may well be determinative of guilt or innocence, nondisclosure of evidence affecting credibility falls within the general rule”</w:t>
      </w:r>
      <w:r>
        <w:t xml:space="preserve"> of Brady.</w:t>
      </w:r>
    </w:p>
    <w:p>
      <w:pPr>
        <w:pStyle w:val="Heading2"/>
        <w:spacing w:after="160" w:before="280"/>
      </w:pPr>
      <w:r>
        <w:t xml:space="preserve">What Qualifies as Giglio Material</w:t>
      </w:r>
    </w:p>
    <w:p>
      <w:pPr>
        <w:spacing w:after="160" w:line="300"/>
        <w:jc w:val="both"/>
      </w:pPr>
      <w:r>
        <w:t xml:space="preserve">Giglio material includes anything that could reasonably be used to impeach a prosecution witness. The classic categories:</w:t>
      </w:r>
    </w:p>
    <w:p>
      <w:pPr>
        <w:pStyle w:val="ListParagraph"/>
        <w:numPr>
          <w:ilvl w:val="0"/>
          <w:numId w:val="3"/>
        </w:numPr>
        <w:spacing w:after="100" w:line="300"/>
        <w:jc w:val="left"/>
      </w:pPr>
      <w:r>
        <w:rPr>
          <w:b/>
          <w:bCs/>
        </w:rPr>
        <w:t xml:space="preserve">Promises, deals, or inducements</w:t>
      </w:r>
      <w:r>
        <w:t xml:space="preserve"> offered to the witness in exchange for testimony — immunity, leniency, reduced charges, payment, relocation benefits.</w:t>
      </w:r>
    </w:p>
    <w:p>
      <w:pPr>
        <w:pStyle w:val="ListParagraph"/>
        <w:numPr>
          <w:ilvl w:val="0"/>
          <w:numId w:val="3"/>
        </w:numPr>
        <w:spacing w:after="100" w:line="300"/>
        <w:jc w:val="left"/>
      </w:pPr>
      <w:r>
        <w:rPr>
          <w:b/>
          <w:bCs/>
        </w:rPr>
        <w:t xml:space="preserve">Prior false statements</w:t>
      </w:r>
      <w:r>
        <w:t xml:space="preserve"> by the witness, especially in official contexts such as statements to law enforcement.</w:t>
      </w:r>
    </w:p>
    <w:p>
      <w:pPr>
        <w:pStyle w:val="ListParagraph"/>
        <w:numPr>
          <w:ilvl w:val="0"/>
          <w:numId w:val="3"/>
        </w:numPr>
        <w:spacing w:after="100" w:line="300"/>
        <w:jc w:val="left"/>
      </w:pPr>
      <w:r>
        <w:rPr>
          <w:b/>
          <w:bCs/>
        </w:rPr>
        <w:t xml:space="preserve">Prior criminal convictions</w:t>
      </w:r>
      <w:r>
        <w:t xml:space="preserve"> of the witness, particularly those involving dishonesty.</w:t>
      </w:r>
    </w:p>
    <w:p>
      <w:pPr>
        <w:pStyle w:val="ListParagraph"/>
        <w:numPr>
          <w:ilvl w:val="0"/>
          <w:numId w:val="3"/>
        </w:numPr>
        <w:spacing w:after="100" w:line="300"/>
        <w:jc w:val="left"/>
      </w:pPr>
      <w:r>
        <w:rPr>
          <w:b/>
          <w:bCs/>
        </w:rPr>
        <w:t xml:space="preserve">Sustained findings of misconduct</w:t>
      </w:r>
      <w:r>
        <w:t xml:space="preserve"> in a law enforcement witness's personnel file.</w:t>
      </w:r>
    </w:p>
    <w:p>
      <w:pPr>
        <w:pStyle w:val="ListParagraph"/>
        <w:numPr>
          <w:ilvl w:val="0"/>
          <w:numId w:val="3"/>
        </w:numPr>
        <w:spacing w:after="100" w:line="300"/>
        <w:jc w:val="left"/>
      </w:pPr>
      <w:r>
        <w:rPr>
          <w:b/>
          <w:bCs/>
        </w:rPr>
        <w:t xml:space="preserve">Mental health or substance abuse issues</w:t>
      </w:r>
      <w:r>
        <w:t xml:space="preserve"> that bear on the witness's perception or memory.</w:t>
      </w:r>
    </w:p>
    <w:p>
      <w:pPr>
        <w:pStyle w:val="ListParagraph"/>
        <w:numPr>
          <w:ilvl w:val="0"/>
          <w:numId w:val="3"/>
        </w:numPr>
        <w:spacing w:after="100" w:line="300"/>
        <w:jc w:val="left"/>
      </w:pPr>
      <w:r>
        <w:rPr>
          <w:b/>
          <w:bCs/>
        </w:rPr>
        <w:t xml:space="preserve">Pending charges or investigations</w:t>
      </w:r>
      <w:r>
        <w:t xml:space="preserve"> that might bias the witness's testimony.</w:t>
      </w:r>
    </w:p>
    <w:p>
      <w:pPr>
        <w:spacing w:after="160" w:line="300"/>
        <w:jc w:val="both"/>
      </w:pPr>
      <w:r>
        <w:t xml:space="preserve">For police witnesses, many jurisdictions maintain so-called “Giglio lists” or “Brady lists” — internal records of officers who have prior findings of dishonesty or misconduct that must be disclosed if the officer is called as a witness.</w:t>
      </w:r>
    </w:p>
    <w:p>
      <w:pPr>
        <w:pStyle w:val="Heading2"/>
        <w:spacing w:after="160" w:before="280"/>
      </w:pPr>
      <w:r>
        <w:t xml:space="preserve">Why Giglio Matters Here</w:t>
      </w:r>
    </w:p>
    <w:p>
      <w:pPr>
        <w:spacing w:after="160" w:line="300"/>
        <w:jc w:val="both"/>
      </w:pPr>
      <w:r>
        <w:t xml:space="preserve">If a building staff member who lied to a responding police officer is later called as a witness — whether by the defense, by the Commonwealth, or in any related civil proceeding — that prior false statement to law enforcement is direct impeachment material. The defense gets to know about it. The court gets to know about it. The trier of fact gets to weigh it.</w:t>
      </w:r>
    </w:p>
    <w:p>
      <w:pPr>
        <w:pStyle w:val="Heading1"/>
        <w:spacing w:after="200" w:before="360"/>
      </w:pPr>
      <w:r>
        <w:t xml:space="preserve">Part III — How Brady and Giglio Work Together</w:t>
      </w:r>
    </w:p>
    <w:p>
      <w:pPr>
        <w:spacing w:after="160" w:line="300"/>
        <w:jc w:val="both"/>
      </w:pPr>
      <w:r>
        <w:t xml:space="preserve">Brady covers exculpatory and mitigating evidence. Giglio covers impeachment evidence. Together, they describe the full scope of the prosecution's constitutional disclosure obligation. Material that falls under either category must be turned over.</w:t>
      </w:r>
    </w:p>
    <w:p>
      <w:pPr>
        <w:spacing w:after="160" w:line="300"/>
        <w:jc w:val="both"/>
      </w:pPr>
      <w:r>
        <w:t xml:space="preserve">In practice, the two categories often overlap. A single piece of evidence can be both exculpatory and impeaching. A body camera recording that captures false statements by a building's front-desk employee both undermines the prosecution's narrative if it depends on those statements (Brady), and provides impeachment if that employee or related personnel testify (Giglio). The DA does not get to pick which doctrine applies. The disclosure obligation runs to the material regardless.</w:t>
      </w:r>
    </w:p>
    <w:p>
      <w:pPr>
        <w:pStyle w:val="Heading2"/>
        <w:spacing w:after="160" w:before="280"/>
      </w:pPr>
      <w:r>
        <w:t xml:space="preserve">The Structural Point</w:t>
      </w:r>
    </w:p>
    <w:p>
      <w:pPr>
        <w:spacing w:after="160" w:line="300"/>
        <w:jc w:val="both"/>
      </w:pPr>
      <w:r>
        <w:t xml:space="preserve">The disclosure obligation is not contingent on whether the material is embarrassing to the prosecution or to its partner agencies. </w:t>
      </w:r>
      <w:r>
        <w:rPr>
          <w:i/>
          <w:iCs/>
        </w:rPr>
        <w:t xml:space="preserve">Kyles v. Whitley</w:t>
      </w:r>
      <w:r>
        <w:t xml:space="preserve"> and the line of cases following it make this explicit: the prosecutor cannot decline to obtain or disclose Brady/Giglio material on the theory that doing so would reflect poorly on the police investigation. Suppression for institutional protection is itself a violation. The disclosure duty exists for the benefit of the accused and the integrity of the proceedings, not for the convenience of the prosecuting agencies.</w:t>
      </w:r>
    </w:p>
    <w:p>
      <w:pPr>
        <w:spacing w:after="160" w:line="300"/>
        <w:jc w:val="both"/>
      </w:pPr>
      <w:r>
        <w:t xml:space="preserve">This is the doctrinal lever in cases where the prosecution and police have a shared interest in keeping certain material from surfacing. The Brady/Giglio framework was designed to overcome exactly that institutional alignment.</w:t>
      </w:r>
    </w:p>
    <w:p>
      <w:pPr>
        <w:pStyle w:val="Heading1"/>
        <w:spacing w:after="200" w:before="360"/>
      </w:pPr>
      <w:r>
        <w:t xml:space="preserve">Part IV — Application to the Horn Matter</w:t>
      </w:r>
    </w:p>
    <w:p>
      <w:pPr>
        <w:pStyle w:val="Heading2"/>
        <w:spacing w:after="160" w:before="280"/>
      </w:pPr>
      <w:r>
        <w:t xml:space="preserve">Procedural Posture</w:t>
      </w:r>
    </w:p>
    <w:p>
      <w:pPr>
        <w:spacing w:after="160" w:line="300"/>
        <w:jc w:val="both"/>
      </w:pPr>
      <w:r>
        <w:t xml:space="preserve">Justin Horn is the named victim and primary witness in </w:t>
      </w:r>
      <w:r>
        <w:rPr>
          <w:i/>
          <w:iCs/>
        </w:rPr>
        <w:t xml:space="preserve">Commonwealth v. Talley</w:t>
      </w:r>
      <w:r>
        <w:t xml:space="preserve">, CP-51-CR-0000673-2026, arising from an 11-minute antisemitic assault inside the lobby of 315 N. 12th Street, Philadelphia, on August 22, 2025. The assault resulted in orbital fracture, broken nose (bilateral), and broken jaw. The Commonwealth charges include aggravated assault and ethnic intimidation.</w:t>
      </w:r>
    </w:p>
    <w:p>
      <w:pPr>
        <w:spacing w:after="160" w:line="300"/>
        <w:jc w:val="both"/>
      </w:pPr>
      <w:r>
        <w:t xml:space="preserve">The case has an unusual procedural history: it was dismissed at preliminary hearing and refiled after supervisory review, with aggravated assault and ethnic intimidation elements added on the refiling. The refiling is itself institutional acknowledgment that the original case-build was deficient.</w:t>
      </w:r>
    </w:p>
    <w:p>
      <w:pPr>
        <w:pStyle w:val="Heading2"/>
        <w:spacing w:after="160" w:before="280"/>
      </w:pPr>
      <w:r>
        <w:t xml:space="preserve">The Body Cam as Brady Material</w:t>
      </w:r>
    </w:p>
    <w:p>
      <w:pPr>
        <w:spacing w:after="160" w:line="300"/>
        <w:jc w:val="both"/>
      </w:pPr>
      <w:r>
        <w:t xml:space="preserve">The body camera footage from the responding officer on August 22, 2025 is Brady material on at least three independent grounds.</w:t>
      </w:r>
    </w:p>
    <w:p>
      <w:pPr>
        <w:pStyle w:val="Heading3"/>
        <w:spacing w:after="120" w:before="220"/>
      </w:pPr>
      <w:r>
        <w:t xml:space="preserve">First: it captures false attribution of aggression.</w:t>
      </w:r>
    </w:p>
    <w:p>
      <w:pPr>
        <w:spacing w:after="160" w:line="300"/>
        <w:jc w:val="both"/>
      </w:pPr>
      <w:r>
        <w:t xml:space="preserve">The body cam captures the responding officer accepting the front-desk employee's statement that Horn was the aggressor. This statement is contradicted by the building's own surveillance footage, which Horn subsequently collected himself — with one functional eye and an orbital fracture — and which shows him being attacked. A recording of the responding officer being given a materially false account of the underlying offense is favorable to any party whose case depends on the accuracy of what actually happened. It is exculpatory as to the original “Horn was the aggressor” framing and material to any subsequent impeachment of witnesses who carried that framing forward.</w:t>
      </w:r>
    </w:p>
    <w:p>
      <w:pPr>
        <w:pStyle w:val="Heading3"/>
        <w:spacing w:after="120" w:before="220"/>
      </w:pPr>
      <w:r>
        <w:t xml:space="preserve">Second: it captures false denial of physical evidence.</w:t>
      </w:r>
    </w:p>
    <w:p>
      <w:pPr>
        <w:spacing w:after="160" w:line="300"/>
        <w:jc w:val="both"/>
      </w:pPr>
      <w:r>
        <w:t xml:space="preserve">The body cam captures the front-desk employee's statement that “no video exists” of the assault. This statement is demonstrably false — the surveillance footage existed and was later obtained by Horn directly. A contemporaneous recording of a building employee lying to police about the existence of physical evidence is favorable to the Commonwealth's case and impeaching of any witness from that building who may testify.</w:t>
      </w:r>
    </w:p>
    <w:p>
      <w:pPr>
        <w:pStyle w:val="Heading3"/>
        <w:spacing w:after="120" w:before="220"/>
      </w:pPr>
      <w:r>
        <w:t xml:space="preserve">Third: it preserves a contemporaneous baseline.</w:t>
      </w:r>
    </w:p>
    <w:p>
      <w:pPr>
        <w:spacing w:after="160" w:line="300"/>
        <w:jc w:val="both"/>
      </w:pPr>
      <w:r>
        <w:t xml:space="preserve">The body cam captures, in real time and without opportunity for coordination, what was said to police by building staff in the immediate aftermath of the assault. Subsequent accounts can be measured against that record. Any departure from what was said on the body cam — by the same staff, in any later proceeding — becomes impeachment material.</w:t>
      </w:r>
    </w:p>
    <w:p>
      <w:pPr>
        <w:pStyle w:val="Heading2"/>
        <w:spacing w:after="160" w:before="280"/>
      </w:pPr>
      <w:r>
        <w:t xml:space="preserve">Giglio Material in the Same Record</w:t>
      </w:r>
    </w:p>
    <w:p>
      <w:pPr>
        <w:spacing w:after="160" w:line="300"/>
        <w:jc w:val="both"/>
      </w:pPr>
      <w:r>
        <w:t xml:space="preserve">The same body cam footage, along with related records, contains Giglio material:</w:t>
      </w:r>
    </w:p>
    <w:p>
      <w:pPr>
        <w:pStyle w:val="ListParagraph"/>
        <w:numPr>
          <w:ilvl w:val="0"/>
          <w:numId w:val="3"/>
        </w:numPr>
        <w:spacing w:after="100" w:line="300"/>
        <w:jc w:val="left"/>
      </w:pPr>
      <w:r>
        <w:rPr>
          <w:b/>
          <w:bCs/>
        </w:rPr>
        <w:t xml:space="preserve">The front-desk employee's false statements to police</w:t>
      </w:r>
      <w:r>
        <w:t xml:space="preserve"> are prior false statements in an official law enforcement context — direct impeachment if that employee or any colleague who repeated the same account is called as a witness.</w:t>
      </w:r>
    </w:p>
    <w:p>
      <w:pPr>
        <w:pStyle w:val="ListParagraph"/>
        <w:numPr>
          <w:ilvl w:val="0"/>
          <w:numId w:val="3"/>
        </w:numPr>
        <w:spacing w:after="100" w:line="300"/>
        <w:jc w:val="left"/>
      </w:pPr>
      <w:r>
        <w:rPr>
          <w:b/>
          <w:bCs/>
        </w:rPr>
        <w:t xml:space="preserve">The maintenance worker's question on August 23, 2025</w:t>
      </w:r>
      <w:r>
        <w:t xml:space="preserve"> — “so it was just one punch?” — captured on Horn's own recording, telegraphs the eventual defense theory before charges existed. If that worker testifies on any side, the recording is impeaching. The defense's motion to suppress that audio at preliminary hearing is itself probative: parties do not move to suppress evidence that supports them.</w:t>
      </w:r>
    </w:p>
    <w:p>
      <w:pPr>
        <w:pStyle w:val="ListParagraph"/>
        <w:numPr>
          <w:ilvl w:val="0"/>
          <w:numId w:val="3"/>
        </w:numPr>
        <w:spacing w:after="100" w:line="300"/>
        <w:jc w:val="left"/>
      </w:pPr>
      <w:r>
        <w:rPr>
          <w:b/>
          <w:bCs/>
        </w:rPr>
        <w:t xml:space="preserve">The conduct of Corporal Snyder, Badge #8068, on May 10, 2026</w:t>
      </w:r>
      <w:r>
        <w:t xml:space="preserve"> — characterizing Horn's account of witness intimidation as “a made up story” and stating that he was “not interested in a plethora of evidence” — is potentially Giglio material as to any PPD officer who testifies in the Talley prosecution regarding the credibility of the victim/witness.</w:t>
      </w:r>
    </w:p>
    <w:p>
      <w:pPr>
        <w:pStyle w:val="Heading2"/>
        <w:spacing w:after="160" w:before="280"/>
      </w:pPr>
      <w:r>
        <w:t xml:space="preserve">The Witness-Intimidation Documentation</w:t>
      </w:r>
    </w:p>
    <w:p>
      <w:pPr>
        <w:spacing w:after="160" w:line="300"/>
        <w:jc w:val="both"/>
      </w:pPr>
      <w:r>
        <w:t xml:space="preserve">Beyond the August 22, 2025 record, an active and independent body of Brady/Giglio material has arisen from documented witness intimidation against Horn in the months preceding the Talley trial:</w:t>
      </w:r>
    </w:p>
    <w:p>
      <w:pPr>
        <w:pStyle w:val="ListParagraph"/>
        <w:numPr>
          <w:ilvl w:val="0"/>
          <w:numId w:val="3"/>
        </w:numPr>
        <w:spacing w:after="100" w:line="300"/>
        <w:jc w:val="left"/>
      </w:pPr>
      <w:r>
        <w:rPr>
          <w:b/>
          <w:bCs/>
        </w:rPr>
        <w:t xml:space="preserve">DC #26-09-0597175 (May 10, 2026)</w:t>
      </w:r>
      <w:r>
        <w:t xml:space="preserve"> — Horn's report to PPD documenting witness intimidation and retaliation timed to the upcoming Talley trial.</w:t>
      </w:r>
    </w:p>
    <w:p>
      <w:pPr>
        <w:pStyle w:val="ListParagraph"/>
        <w:numPr>
          <w:ilvl w:val="0"/>
          <w:numId w:val="3"/>
        </w:numPr>
        <w:spacing w:after="100" w:line="300"/>
        <w:jc w:val="left"/>
      </w:pPr>
      <w:r>
        <w:rPr>
          <w:b/>
          <w:bCs/>
        </w:rPr>
        <w:t xml:space="preserve">DC #26-09-060340 (May 12, 2026)</w:t>
      </w:r>
      <w:r>
        <w:t xml:space="preserve"> — Follow-up report at the 9th District, linking the trust matter and the Greystar conduct as one continuing pattern in the Commonwealth's own incident system. Detective referral to N. Nguyen, 215-686-3093.</w:t>
      </w:r>
    </w:p>
    <w:p>
      <w:pPr>
        <w:pStyle w:val="ListParagraph"/>
        <w:numPr>
          <w:ilvl w:val="0"/>
          <w:numId w:val="3"/>
        </w:numPr>
        <w:spacing w:after="100" w:line="300"/>
        <w:jc w:val="left"/>
      </w:pPr>
      <w:r>
        <w:rPr>
          <w:b/>
          <w:bCs/>
        </w:rPr>
        <w:t xml:space="preserve">PPD Tenant's Referral Notice (Form 75-Misc.-9)</w:t>
      </w:r>
      <w:r>
        <w:t xml:space="preserve"> — Issued in connection with the May 10 report.</w:t>
      </w:r>
    </w:p>
    <w:p>
      <w:pPr>
        <w:pStyle w:val="ListParagraph"/>
        <w:numPr>
          <w:ilvl w:val="0"/>
          <w:numId w:val="3"/>
        </w:numPr>
        <w:spacing w:after="100" w:line="300"/>
        <w:jc w:val="left"/>
      </w:pPr>
      <w:r>
        <w:rPr>
          <w:b/>
          <w:bCs/>
        </w:rPr>
        <w:t xml:space="preserve">The May 4, 2026 Notice to Quit</w:t>
      </w:r>
      <w:r>
        <w:t xml:space="preserve"> — Issued by Cohen Marraccini LLC, labeling Horn a “defiant trespasser” and barring him from the leasing office of his own building. The vacate date of June 15, 2026 falls inside the active witness window for the Talley trial.</w:t>
      </w:r>
    </w:p>
    <w:p>
      <w:pPr>
        <w:spacing w:after="160" w:line="300"/>
        <w:jc w:val="both"/>
      </w:pPr>
      <w:r>
        <w:t xml:space="preserve">Any of these records that bears on Horn's credibility, on the credibility of witnesses who may testify against him, or on the conditions under which he is being asked to testify, is Brady/Giglio material. The DA's disclosure obligation extends to all of it.</w:t>
      </w:r>
    </w:p>
    <w:p>
      <w:pPr>
        <w:pStyle w:val="Heading2"/>
        <w:spacing w:after="160" w:before="280"/>
      </w:pPr>
      <w:r>
        <w:t xml:space="preserve">The Institutional-Alignment Problem</w:t>
      </w:r>
    </w:p>
    <w:p>
      <w:pPr>
        <w:spacing w:after="160" w:line="300"/>
        <w:jc w:val="both"/>
      </w:pPr>
      <w:r>
        <w:t xml:space="preserve">The August 22, 2025 body cam reflects poorly on the responding officer, who accepted false statements from building staff without independent verification — including the demonstrably false claim that no video existed. The body cam reflects poorly on PPD's handling of the original investigation, which was dismissed at preliminary hearing and required supervisory review to refile. The body cam, if surfaced, also raises questions about why the DA's office has not, to Horn's knowledge as of this writing, obtained or disclosed it.</w:t>
      </w:r>
    </w:p>
    <w:p>
      <w:pPr>
        <w:spacing w:after="160" w:line="300"/>
        <w:jc w:val="both"/>
      </w:pPr>
      <w:r>
        <w:t xml:space="preserve">This is precisely the institutional alignment that </w:t>
      </w:r>
      <w:r>
        <w:rPr>
          <w:i/>
          <w:iCs/>
        </w:rPr>
        <w:t xml:space="preserve">Kyles v. Whitley</w:t>
      </w:r>
      <w:r>
        <w:t xml:space="preserve"> addresses. The DA's disclosure obligation is not waived or weakened by the fact that compliance would surface deficiencies in the police investigation the DA is presently relying on. The disclosure duty was designed for cases of exactly this configuration.</w:t>
      </w:r>
    </w:p>
    <w:p>
      <w:pPr>
        <w:pStyle w:val="Heading2"/>
        <w:spacing w:after="160" w:before="280"/>
      </w:pPr>
      <w:r>
        <w:t xml:space="preserve">The Practical Lever</w:t>
      </w:r>
    </w:p>
    <w:p>
      <w:pPr>
        <w:spacing w:after="160" w:line="300"/>
        <w:jc w:val="both"/>
      </w:pPr>
      <w:r>
        <w:t xml:space="preserve">Once the trial court is on notice that Brady/Giglio material exists and has not been produced, the court has both the authority and, on motion, the practical obligation to order production. The defense in the Talley matter has its own incentive to obtain the body cam — if it realizes what is on it. Surfacing the material through the right channel — DA disclosure to defense, not post-conviction FOIA appeal — is what makes it usable at trial rather than usable only on appeal.</w:t>
      </w:r>
    </w:p>
    <w:p>
      <w:pPr>
        <w:spacing w:after="160" w:line="300"/>
        <w:jc w:val="both"/>
      </w:pPr>
      <w:r>
        <w:t xml:space="preserve">Available mechanisms for the victim/witness:</w:t>
      </w:r>
    </w:p>
    <w:p>
      <w:pPr>
        <w:pStyle w:val="ListParagraph"/>
        <w:numPr>
          <w:ilvl w:val="0"/>
          <w:numId w:val="2"/>
        </w:numPr>
        <w:spacing w:after="100" w:line="300"/>
        <w:jc w:val="left"/>
      </w:pPr>
      <w:r>
        <w:rPr>
          <w:b/>
          <w:bCs/>
        </w:rPr>
        <w:t xml:space="preserve">A written notice to the DA's office</w:t>
      </w:r>
      <w:r>
        <w:t xml:space="preserve">, sent through the victim services apparatus or through trial counsel, identifying the Brady/Giglio material and requesting confirmation of disclosure to the defense.</w:t>
      </w:r>
    </w:p>
    <w:p>
      <w:pPr>
        <w:pStyle w:val="ListParagraph"/>
        <w:numPr>
          <w:ilvl w:val="0"/>
          <w:numId w:val="2"/>
        </w:numPr>
        <w:spacing w:after="100" w:line="300"/>
        <w:jc w:val="left"/>
      </w:pPr>
      <w:r>
        <w:rPr>
          <w:b/>
          <w:bCs/>
        </w:rPr>
        <w:t xml:space="preserve">A Right-to-Know Law request</w:t>
      </w:r>
      <w:r>
        <w:t xml:space="preserve"> directly to PPD for the body cam footage and related records. PPD has five business days to respond under 65 P.S. § 67.901.</w:t>
      </w:r>
    </w:p>
    <w:p>
      <w:pPr>
        <w:pStyle w:val="ListParagraph"/>
        <w:numPr>
          <w:ilvl w:val="0"/>
          <w:numId w:val="2"/>
        </w:numPr>
        <w:spacing w:after="100" w:line="300"/>
        <w:jc w:val="left"/>
      </w:pPr>
      <w:r>
        <w:rPr>
          <w:b/>
          <w:bCs/>
        </w:rPr>
        <w:t xml:space="preserve">A notice to the court</w:t>
      </w:r>
      <w:r>
        <w:t xml:space="preserve"> — through victim services, through a motion the DA files, or through a victim impact statement — that Brady/Giglio material exists and has not been disclosed.</w:t>
      </w:r>
    </w:p>
    <w:p>
      <w:pPr>
        <w:spacing w:after="160" w:line="300"/>
        <w:jc w:val="both"/>
      </w:pPr>
      <w:r>
        <w:t xml:space="preserve">The body cam is the cleanest single piece of evidence in this case. It is contemporaneous. It captures what was said to police before anyone had an opportunity to coordinate. It is held by an agency (PPD) that is part of the prosecution team for Brady/Giglio purposes. Its disclosure is mandatory under more than sixty years of established Supreme Court precedent.</w:t>
      </w:r>
    </w:p>
    <w:p>
      <w:pPr>
        <w:pStyle w:val="Heading1"/>
        <w:spacing w:after="200" w:before="360"/>
      </w:pPr>
      <w:r>
        <w:t xml:space="preserve">Conclusion</w:t>
      </w:r>
    </w:p>
    <w:p>
      <w:pPr>
        <w:spacing w:after="160" w:line="300"/>
        <w:jc w:val="both"/>
      </w:pPr>
      <w:r>
        <w:t xml:space="preserve">Brady and Giglio are not technical doctrines. They are the structural protections the criminal justice system provides against exactly the configuration of facts present in this case: a prosecution and police agency with a shared institutional interest in keeping certain material from surfacing, and a victim/witness whose credibility is the operative target of the defense theory.</w:t>
      </w:r>
    </w:p>
    <w:p>
      <w:pPr>
        <w:spacing w:after="160" w:line="300"/>
        <w:jc w:val="both"/>
      </w:pPr>
      <w:r>
        <w:t xml:space="preserve">The disclosure framework was designed by the Supreme Court to overcome that alignment, not to defer to it. Surfacing the body cam, the dispatch records, the incident notes, and the witness-intimidation documentation through the Brady/Giglio framework is not adversarial conduct toward the prosecution. It is the exercise of the doctrinal mechanism the prosecution itself is constitutionally bound to honor.</w:t>
      </w:r>
    </w:p>
    <w:p>
      <w:pPr>
        <w:pBdr>
          <w:bottom w:val="single" w:color="999999" w:sz="6" w:space="1"/>
        </w:pBdr>
        <w:spacing w:after="240" w:before="120"/>
      </w:pPr>
    </w:p>
    <w:p>
      <w:pPr>
        <w:pStyle w:val="Heading2"/>
        <w:spacing w:after="160" w:before="280"/>
      </w:pPr>
      <w:r>
        <w:t xml:space="preserve">Authorities Cited</w:t>
      </w:r>
    </w:p>
    <w:p>
      <w:pPr>
        <w:spacing w:after="80"/>
        <w:jc w:val="both"/>
      </w:pPr>
      <w:r>
        <w:rPr>
          <w:i/>
          <w:iCs/>
        </w:rPr>
        <w:t xml:space="preserve">Brady v. Maryland</w:t>
      </w:r>
      <w:r>
        <w:t xml:space="preserve">, 373 U.S. 83 (1963).</w:t>
      </w:r>
    </w:p>
    <w:p>
      <w:pPr>
        <w:spacing w:after="80"/>
        <w:jc w:val="both"/>
      </w:pPr>
      <w:r>
        <w:rPr>
          <w:i/>
          <w:iCs/>
        </w:rPr>
        <w:t xml:space="preserve">Giglio v. United States</w:t>
      </w:r>
      <w:r>
        <w:t xml:space="preserve">, 405 U.S. 150 (1972).</w:t>
      </w:r>
    </w:p>
    <w:p>
      <w:pPr>
        <w:spacing w:after="80"/>
        <w:jc w:val="both"/>
      </w:pPr>
      <w:r>
        <w:rPr>
          <w:i/>
          <w:iCs/>
        </w:rPr>
        <w:t xml:space="preserve">Kyles v. Whitley</w:t>
      </w:r>
      <w:r>
        <w:t xml:space="preserve">, 514 U.S. 419 (1995).</w:t>
      </w:r>
    </w:p>
    <w:p>
      <w:pPr>
        <w:spacing w:after="80"/>
        <w:jc w:val="both"/>
      </w:pPr>
      <w:r>
        <w:t xml:space="preserve">Pa.R.Crim.P. 573 (Pretrial Discovery and Inspection).</w:t>
      </w:r>
    </w:p>
    <w:p>
      <w:pPr>
        <w:spacing w:after="80"/>
        <w:jc w:val="both"/>
      </w:pPr>
      <w:r>
        <w:t xml:space="preserve">65 P.S. § 67.901 (Pennsylvania Right-to-Know Law, response timing).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C9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2026-05-15T22:03:06.293Z</dcterms:created>
  <dcterms:modified xsi:type="dcterms:W3CDTF">2026-05-15T22:03:06.308Z</dcterms:modified>
</cp:coreProperties>
</file>

<file path=docProps/custom.xml><?xml version="1.0" encoding="utf-8"?>
<Properties xmlns="http://schemas.openxmlformats.org/officeDocument/2006/custom-properties" xmlns:vt="http://schemas.openxmlformats.org/officeDocument/2006/docPropsVTypes"/>
</file>