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76"/>
        <w:jc w:val="left"/>
      </w:pPr>
      <w:r>
        <w:rPr>
          <w:rFonts w:ascii="Times New Roman" w:cs="Times New Roman" w:eastAsia="Times New Roman" w:hAnsi="Times New Roman"/>
          <w:sz w:val="22"/>
          <w:szCs w:val="22"/>
        </w:rPr>
        <w:t xml:space="preserve">Justin Horn</w:t>
      </w:r>
    </w:p>
    <w:p>
      <w:pPr>
        <w:spacing w:after="60" w:line="276"/>
        <w:jc w:val="left"/>
      </w:pPr>
      <w:r>
        <w:rPr>
          <w:rFonts w:ascii="Times New Roman" w:cs="Times New Roman" w:eastAsia="Times New Roman" w:hAnsi="Times New Roman"/>
          <w:sz w:val="22"/>
          <w:szCs w:val="22"/>
        </w:rPr>
        <w:t xml:space="preserve">315 N. 12th Street, Apt. #806</w:t>
      </w:r>
    </w:p>
    <w:p>
      <w:pPr>
        <w:spacing w:after="60" w:line="276"/>
        <w:jc w:val="left"/>
      </w:pPr>
      <w:r>
        <w:rPr>
          <w:rFonts w:ascii="Times New Roman" w:cs="Times New Roman" w:eastAsia="Times New Roman" w:hAnsi="Times New Roman"/>
          <w:sz w:val="22"/>
          <w:szCs w:val="22"/>
        </w:rPr>
        <w:t xml:space="preserve">Philadelphia, PA 19107</w:t>
      </w:r>
    </w:p>
    <w:p>
      <w:r>
        <w:rPr>
          <w:rFonts w:ascii="Times New Roman" w:cs="Times New Roman" w:eastAsia="Times New Roman" w:hAnsi="Times New Roman"/>
          <w:sz w:val="22"/>
          <w:szCs w:val="22"/>
        </w:rPr>
        <w:t xml:space="preserve"/>
      </w:r>
    </w:p>
    <w:p>
      <w:pPr>
        <w:spacing w:after="60" w:line="276"/>
        <w:jc w:val="left"/>
      </w:pPr>
      <w:r>
        <w:rPr>
          <w:rFonts w:ascii="Times New Roman" w:cs="Times New Roman" w:eastAsia="Times New Roman" w:hAnsi="Times New Roman"/>
          <w:sz w:val="22"/>
          <w:szCs w:val="22"/>
        </w:rPr>
        <w:t xml:space="preserve">May 27, 2026</w:t>
      </w:r>
    </w:p>
    <w:p>
      <w:r>
        <w:rPr>
          <w:rFonts w:ascii="Times New Roman" w:cs="Times New Roman" w:eastAsia="Times New Roman" w:hAnsi="Times New Roman"/>
          <w:sz w:val="22"/>
          <w:szCs w:val="22"/>
        </w:rPr>
        <w:t xml:space="preserve"/>
      </w:r>
    </w:p>
    <w:p>
      <w:pPr>
        <w:spacing w:after="60" w:line="276"/>
        <w:jc w:val="left"/>
      </w:pPr>
      <w:r>
        <w:rPr>
          <w:rFonts w:ascii="Times New Roman" w:cs="Times New Roman" w:eastAsia="Times New Roman" w:hAnsi="Times New Roman"/>
          <w:sz w:val="22"/>
          <w:szCs w:val="22"/>
        </w:rPr>
        <w:t xml:space="preserve">VIA CERTIFIED MAIL/RRR AND ELECTRONIC TRANSMISSION</w:t>
      </w:r>
    </w:p>
    <w:p>
      <w:r>
        <w:rPr>
          <w:rFonts w:ascii="Times New Roman" w:cs="Times New Roman" w:eastAsia="Times New Roman" w:hAnsi="Times New Roman"/>
          <w:sz w:val="22"/>
          <w:szCs w:val="22"/>
        </w:rPr>
        <w:t xml:space="preserve"/>
      </w:r>
    </w:p>
    <w:p>
      <w:pPr>
        <w:spacing w:after="60" w:line="276"/>
        <w:jc w:val="left"/>
      </w:pPr>
      <w:r>
        <w:rPr>
          <w:rFonts w:ascii="Times New Roman" w:cs="Times New Roman" w:eastAsia="Times New Roman" w:hAnsi="Times New Roman"/>
          <w:sz w:val="22"/>
          <w:szCs w:val="22"/>
        </w:rPr>
        <w:t xml:space="preserve">Matthew R. Bradley, Esq.</w:t>
      </w:r>
    </w:p>
    <w:p>
      <w:pPr>
        <w:spacing w:after="60" w:line="276"/>
        <w:jc w:val="left"/>
      </w:pPr>
      <w:r>
        <w:rPr>
          <w:rFonts w:ascii="Times New Roman" w:cs="Times New Roman" w:eastAsia="Times New Roman" w:hAnsi="Times New Roman"/>
          <w:sz w:val="22"/>
          <w:szCs w:val="22"/>
        </w:rPr>
        <w:t xml:space="preserve">Cohen Marraccini, LLC</w:t>
      </w:r>
    </w:p>
    <w:p>
      <w:pPr>
        <w:spacing w:after="60" w:line="276"/>
        <w:jc w:val="left"/>
      </w:pPr>
      <w:r>
        <w:rPr>
          <w:rFonts w:ascii="Times New Roman" w:cs="Times New Roman" w:eastAsia="Times New Roman" w:hAnsi="Times New Roman"/>
          <w:sz w:val="22"/>
          <w:szCs w:val="22"/>
        </w:rPr>
        <w:t xml:space="preserve">660 Second Street Pike</w:t>
      </w:r>
    </w:p>
    <w:p>
      <w:pPr>
        <w:spacing w:after="60" w:line="276"/>
        <w:jc w:val="left"/>
      </w:pPr>
      <w:r>
        <w:rPr>
          <w:rFonts w:ascii="Times New Roman" w:cs="Times New Roman" w:eastAsia="Times New Roman" w:hAnsi="Times New Roman"/>
          <w:sz w:val="22"/>
          <w:szCs w:val="22"/>
        </w:rPr>
        <w:t xml:space="preserve">Southampton, PA 18966</w:t>
      </w:r>
    </w:p>
    <w:p>
      <w:r>
        <w:rPr>
          <w:rFonts w:ascii="Times New Roman" w:cs="Times New Roman" w:eastAsia="Times New Roman" w:hAnsi="Times New Roman"/>
          <w:sz w:val="22"/>
          <w:szCs w:val="22"/>
        </w:rPr>
        <w:t xml:space="preserve"/>
      </w:r>
    </w:p>
    <w:p>
      <w:pPr>
        <w:spacing w:after="60" w:line="276"/>
        <w:jc w:val="left"/>
      </w:pPr>
      <w:r>
        <w:rPr>
          <w:rFonts w:ascii="Times New Roman" w:cs="Times New Roman" w:eastAsia="Times New Roman" w:hAnsi="Times New Roman"/>
          <w:sz w:val="22"/>
          <w:szCs w:val="22"/>
        </w:rPr>
        <w:t xml:space="preserve">cc: Paul Jay Cohen, Esq., Managing Partner</w:t>
      </w:r>
    </w:p>
    <w:p>
      <w:r>
        <w:rPr>
          <w:rFonts w:ascii="Times New Roman" w:cs="Times New Roman" w:eastAsia="Times New Roman" w:hAnsi="Times New Roman"/>
          <w:sz w:val="22"/>
          <w:szCs w:val="22"/>
        </w:rPr>
        <w:t xml:space="preserve"/>
      </w:r>
    </w:p>
    <w:p>
      <w:pPr>
        <w:spacing w:after="120" w:line="276"/>
      </w:pPr>
      <w:r>
        <w:rPr>
          <w:rFonts w:ascii="Times New Roman" w:cs="Times New Roman" w:eastAsia="Times New Roman" w:hAnsi="Times New Roman"/>
          <w:b/>
          <w:bCs/>
          <w:sz w:val="22"/>
          <w:szCs w:val="22"/>
        </w:rPr>
        <w:t xml:space="preserve">Re: </w:t>
      </w:r>
      <w:r>
        <w:rPr>
          <w:rFonts w:ascii="Times New Roman" w:cs="Times New Roman" w:eastAsia="Times New Roman" w:hAnsi="Times New Roman"/>
          <w:b/>
          <w:bCs/>
          <w:sz w:val="22"/>
          <w:szCs w:val="22"/>
        </w:rPr>
        <w:t xml:space="preserve">Notice of Statutory Disqualification, Documented Retaliation, and Witness-Intimidation Exposure Arising from the Notice to Quit Dated May 4, 2026</w:t>
      </w:r>
    </w:p>
    <w:p>
      <w:pPr>
        <w:spacing w:after="120"/>
      </w:pPr>
      <w:r>
        <w:rPr>
          <w:rFonts w:ascii="Times New Roman" w:cs="Times New Roman" w:eastAsia="Times New Roman" w:hAnsi="Times New Roman"/>
          <w:b/>
          <w:bCs/>
          <w:sz w:val="22"/>
          <w:szCs w:val="22"/>
        </w:rPr>
        <w:t xml:space="preserve">      Premises: </w:t>
      </w:r>
      <w:r>
        <w:rPr>
          <w:rFonts w:ascii="Times New Roman" w:cs="Times New Roman" w:eastAsia="Times New Roman" w:hAnsi="Times New Roman"/>
          <w:sz w:val="22"/>
          <w:szCs w:val="22"/>
        </w:rPr>
        <w:t xml:space="preserve">315 N. 12th Street, Apt. #806, Philadelphia, PA 19107</w:t>
      </w:r>
    </w:p>
    <w:p>
      <w:pPr>
        <w:spacing w:after="240"/>
      </w:pPr>
      <w:r>
        <w:rPr>
          <w:rFonts w:ascii="Times New Roman" w:cs="Times New Roman" w:eastAsia="Times New Roman" w:hAnsi="Times New Roman"/>
          <w:b/>
          <w:bCs/>
          <w:sz w:val="22"/>
          <w:szCs w:val="22"/>
        </w:rPr>
        <w:t xml:space="preserve">      Related Criminal Proceeding: </w:t>
      </w:r>
      <w:r>
        <w:rPr>
          <w:rFonts w:ascii="Times New Roman" w:cs="Times New Roman" w:eastAsia="Times New Roman" w:hAnsi="Times New Roman"/>
          <w:i w:val="false"/>
          <w:iCs w:val="false"/>
          <w:sz w:val="22"/>
          <w:szCs w:val="22"/>
        </w:rPr>
        <w:t xml:space="preserve">Commonwealth v. Talley, CP-51-CR-0000673-2026 (Phila. Ct. Com. Pl., Hon. Jessica R. Brown, J.)</w:t>
      </w:r>
    </w:p>
    <w:p>
      <w:pPr>
        <w:spacing w:after="160" w:line="276"/>
        <w:jc w:val="both"/>
      </w:pPr>
      <w:r>
        <w:rPr>
          <w:rFonts w:ascii="Times New Roman" w:cs="Times New Roman" w:eastAsia="Times New Roman" w:hAnsi="Times New Roman"/>
          <w:sz w:val="22"/>
          <w:szCs w:val="22"/>
        </w:rPr>
        <w:t xml:space="preserve">Dear Mr. Bradley:</w:t>
      </w:r>
    </w:p>
    <w:p>
      <w:pPr>
        <w:spacing w:after="160" w:line="276"/>
        <w:jc w:val="both"/>
      </w:pPr>
      <w:r>
        <w:rPr>
          <w:rFonts w:ascii="Times New Roman" w:cs="Times New Roman" w:eastAsia="Times New Roman" w:hAnsi="Times New Roman"/>
          <w:sz w:val="22"/>
          <w:szCs w:val="22"/>
        </w:rPr>
        <w:t xml:space="preserve">This correspondence constitutes formal written notice that the Notice to Quit, Termination of Tenancy, Demand for Possession, and Defiant Trespasser Notice transmitted under your signature on May 4, 2026, is unenforceable as a matter of Pennsylvania and Philadelphia municipal law, predicated upon protected conduct expressly precluded from forming the basis of a termination, and—most consequentially—temporally coordinated in a manner that situates the prosecuting entity, and you personally as signatory counsel, within the operative scope of multiple Pennsylvania felony witness-intimidation and witness-retaliation statutes.</w:t>
      </w:r>
    </w:p>
    <w:p>
      <w:pPr>
        <w:spacing w:after="160" w:line="276"/>
        <w:jc w:val="both"/>
      </w:pPr>
      <w:r>
        <w:rPr>
          <w:rFonts w:ascii="Times New Roman" w:cs="Times New Roman" w:eastAsia="Times New Roman" w:hAnsi="Times New Roman"/>
          <w:sz w:val="22"/>
          <w:szCs w:val="22"/>
        </w:rPr>
        <w:t xml:space="preserve">The transmission of this correspondence supplies the actual-knowledge predicate sufficient to establish the requisite mental state under the statutes enumerated herein with respect to any subsequent prosecutorial advancement of the May 4, 2026 instrument or any complaint filed in furtherance thereof.</w:t>
      </w:r>
    </w:p>
    <w:p>
      <w:pPr>
        <w:spacing w:after="160" w:before="240"/>
        <w:jc w:val="left"/>
      </w:pPr>
      <w:r>
        <w:rPr>
          <w:rFonts w:ascii="Times New Roman" w:cs="Times New Roman" w:eastAsia="Times New Roman" w:hAnsi="Times New Roman"/>
          <w:b/>
          <w:bCs/>
          <w:sz w:val="22"/>
          <w:szCs w:val="22"/>
        </w:rPr>
        <w:t xml:space="preserve">I. Statutory Disqualification Under the Philadelphia Property Maintenance Code</w:t>
      </w:r>
    </w:p>
    <w:p>
      <w:pPr>
        <w:spacing w:after="160" w:line="276"/>
        <w:jc w:val="both"/>
      </w:pPr>
      <w:r>
        <w:rPr>
          <w:rFonts w:ascii="Times New Roman" w:cs="Times New Roman" w:eastAsia="Times New Roman" w:hAnsi="Times New Roman"/>
          <w:sz w:val="22"/>
          <w:szCs w:val="22"/>
        </w:rPr>
        <w:t xml:space="preserve">Post Goldtex, L.P., the entity on whose behalf you purport to act, holds rental license number 602204, which expired on February 28, 2026, and has not been reinstated. Pursuant to Philadelphia Code § 9-3902(d), and the Pennsylvania Superior Court's binding interpretation thereof in Frempong v. Richardson, an unlicensed lessor is jurisdictionally precluded from recovering possession, collecting rental consideration, or initiating possessory proceedings during any period of non-licensure.</w:t>
      </w:r>
    </w:p>
    <w:p>
      <w:pPr>
        <w:spacing w:after="160" w:line="276"/>
        <w:jc w:val="both"/>
      </w:pPr>
      <w:r>
        <w:rPr>
          <w:rFonts w:ascii="Times New Roman" w:cs="Times New Roman" w:eastAsia="Times New Roman" w:hAnsi="Times New Roman"/>
          <w:sz w:val="22"/>
          <w:szCs w:val="22"/>
        </w:rPr>
        <w:t xml:space="preserve">Two contemporaneously open municipal citations—designated CF-2026-012614 and CF-2026-012633, both classified as Unfit Structure violations—further establish that the leased premises remain affirmatively certified by the Department of Licenses and Inspections as unfit for habitation. The April 27, 2026 inspection produced additional fire-safety citations presently outstanding.</w:t>
      </w:r>
    </w:p>
    <w:p>
      <w:pPr>
        <w:spacing w:after="160" w:line="276"/>
        <w:jc w:val="both"/>
      </w:pPr>
      <w:r>
        <w:rPr>
          <w:rFonts w:ascii="Times New Roman" w:cs="Times New Roman" w:eastAsia="Times New Roman" w:hAnsi="Times New Roman"/>
          <w:sz w:val="22"/>
          <w:szCs w:val="22"/>
        </w:rPr>
        <w:t xml:space="preserve">The licensure defect was ascertainable through approximately ninety seconds of consultation with the publicly accessible Department of Licenses and Inspections database. Submission of the May 4, 2026 instrument under your signature, predicated upon a non-existent statutory entitlement to possession, implicates Pennsylvania Rule of Professional Conduct 3.1 (meritorious claims and contentions), Rule 4.1(a) (truthfulness in statements to third persons), and the wrongful-use-of-civil-proceedings statute codified at 42 Pa. C.S.A. § 8351 et seq. (commonly referenced as the Dragonetti Act), the latter of which attaches personally to signatory counsel.</w:t>
      </w:r>
    </w:p>
    <w:p>
      <w:pPr>
        <w:spacing w:after="160" w:before="240"/>
        <w:jc w:val="left"/>
      </w:pPr>
      <w:r>
        <w:rPr>
          <w:rFonts w:ascii="Times New Roman" w:cs="Times New Roman" w:eastAsia="Times New Roman" w:hAnsi="Times New Roman"/>
          <w:b/>
          <w:bCs/>
          <w:sz w:val="22"/>
          <w:szCs w:val="22"/>
        </w:rPr>
        <w:t xml:space="preserve">II. Statutory Bar on Retaliatory Termination</w:t>
      </w:r>
    </w:p>
    <w:p>
      <w:pPr>
        <w:spacing w:after="160" w:line="276"/>
        <w:jc w:val="both"/>
      </w:pPr>
      <w:r>
        <w:rPr>
          <w:rFonts w:ascii="Times New Roman" w:cs="Times New Roman" w:eastAsia="Times New Roman" w:hAnsi="Times New Roman"/>
          <w:sz w:val="22"/>
          <w:szCs w:val="22"/>
        </w:rPr>
        <w:t xml:space="preserve">Section 250.205 of the Pennsylvania Landlord and Tenant Act prohibits termination of a tenancy in retaliation for a tenant's exercise of statutorily and constitutionally protected conduct. The enumerated predicates set forth in the May 4, 2026 instrument constitute a comprehensive catalogue of such protected conduct, including, without limitation:</w:t>
      </w:r>
    </w:p>
    <w:p>
      <w:pPr>
        <w:spacing w:after="60" w:line="276"/>
        <w:ind w:left="360"/>
      </w:pPr>
      <w:r>
        <w:rPr>
          <w:rFonts w:ascii="Times New Roman" w:cs="Times New Roman" w:eastAsia="Times New Roman" w:hAnsi="Times New Roman"/>
          <w:sz w:val="22"/>
          <w:szCs w:val="22"/>
        </w:rPr>
        <w:t xml:space="preserve">(a)  the submission of a maintenance request dated April 13, 2026, occasioned by demonstrable habitability concerns subsequently corroborated by treating physician documentation;</w:t>
      </w:r>
    </w:p>
    <w:p>
      <w:pPr>
        <w:spacing w:after="60" w:line="276"/>
        <w:ind w:left="360"/>
      </w:pPr>
      <w:r>
        <w:rPr>
          <w:rFonts w:ascii="Times New Roman" w:cs="Times New Roman" w:eastAsia="Times New Roman" w:hAnsi="Times New Roman"/>
          <w:sz w:val="22"/>
          <w:szCs w:val="22"/>
        </w:rPr>
        <w:t xml:space="preserve">(b)  the lawful audio-video recording of a managerial interaction on April 14, 2026, which is statutorily permissible under Pennsylvania's one-party consent framework codified at 18 Pa. C.S.A. § 5704;</w:t>
      </w:r>
    </w:p>
    <w:p>
      <w:pPr>
        <w:spacing w:after="60" w:line="276"/>
        <w:ind w:left="360"/>
      </w:pPr>
      <w:r>
        <w:rPr>
          <w:rFonts w:ascii="Times New Roman" w:cs="Times New Roman" w:eastAsia="Times New Roman" w:hAnsi="Times New Roman"/>
          <w:sz w:val="22"/>
          <w:szCs w:val="22"/>
        </w:rPr>
        <w:t xml:space="preserve">(c)  the contemporaneous filing of a complaint with the Philadelphia Police Department, memorialized at Department Control Number 26-09-47920;</w:t>
      </w:r>
    </w:p>
    <w:p>
      <w:pPr>
        <w:spacing w:after="60" w:line="276"/>
        <w:ind w:left="360"/>
      </w:pPr>
      <w:r>
        <w:rPr>
          <w:rFonts w:ascii="Times New Roman" w:cs="Times New Roman" w:eastAsia="Times New Roman" w:hAnsi="Times New Roman"/>
          <w:sz w:val="22"/>
          <w:szCs w:val="22"/>
        </w:rPr>
        <w:t xml:space="preserve">(d)  the transmission of written communications memorializing habitability complaints, lease-compliance objections, and licensure deficiencies; and</w:t>
      </w:r>
    </w:p>
    <w:p>
      <w:pPr>
        <w:spacing w:after="60" w:line="276"/>
        <w:ind w:left="360"/>
      </w:pPr>
      <w:r>
        <w:rPr>
          <w:rFonts w:ascii="Times New Roman" w:cs="Times New Roman" w:eastAsia="Times New Roman" w:hAnsi="Times New Roman"/>
          <w:sz w:val="22"/>
          <w:szCs w:val="22"/>
        </w:rPr>
        <w:t xml:space="preserve">(e)  the distribution of informational materials to fellow tenants concerning rental licensure, licensure-based rent uncollectability under Frempong v. Richardson, and outstanding L&amp;I violations, which constitutes protected First Amendment expression and protected concerted tenant-organizing activity.</w:t>
      </w:r>
    </w:p>
    <w:p>
      <w:pPr>
        <w:spacing w:after="160" w:line="276"/>
        <w:jc w:val="both"/>
      </w:pPr>
      <w:r>
        <w:rPr>
          <w:rFonts w:ascii="Times New Roman" w:cs="Times New Roman" w:eastAsia="Times New Roman" w:hAnsi="Times New Roman"/>
          <w:sz w:val="22"/>
          <w:szCs w:val="22"/>
        </w:rPr>
        <w:t xml:space="preserve">By enumerating these specific protected activities as the predicate grounds for termination, the May 4, 2026 instrument constitutes a self-authenticating admission of retaliatory motive sufficient to satisfy the affirmative defense set forth at 68 P.S. § 250.205 and to support an affirmative recovery thereunder.</w:t>
      </w:r>
    </w:p>
    <w:p>
      <w:pPr>
        <w:spacing w:after="160" w:before="240"/>
        <w:jc w:val="left"/>
      </w:pPr>
      <w:r>
        <w:rPr>
          <w:rFonts w:ascii="Times New Roman" w:cs="Times New Roman" w:eastAsia="Times New Roman" w:hAnsi="Times New Roman"/>
          <w:b/>
          <w:bCs/>
          <w:sz w:val="22"/>
          <w:szCs w:val="22"/>
        </w:rPr>
        <w:t xml:space="preserve">III. Witness-Intimidation and Witness-Retaliation Exposure</w:t>
      </w:r>
    </w:p>
    <w:p>
      <w:pPr>
        <w:spacing w:after="160" w:line="276"/>
        <w:jc w:val="both"/>
      </w:pPr>
      <w:r>
        <w:rPr>
          <w:rFonts w:ascii="Times New Roman" w:cs="Times New Roman" w:eastAsia="Times New Roman" w:hAnsi="Times New Roman"/>
          <w:sz w:val="22"/>
          <w:szCs w:val="22"/>
        </w:rPr>
        <w:t xml:space="preserve">The matter of paramount severity, and the principal occasion for this correspondence, concerns the temporal coordination between the June 15, 2026 vacate deadline imposed by your instrument and the June 12, 2026 waiver trial in Commonwealth v. Talley, CP-51-CR-0000673-2026, presently scheduled before the Honorable Jessica R. Brown. The undersigned is the complainant, primary victim, and indispensable testimonial witness in that prosecution, which arises from an aggravated assault and ethnic intimidation incident that transpired within the lobby of the leased premises on August 22, 2025.</w:t>
      </w:r>
    </w:p>
    <w:p>
      <w:pPr>
        <w:spacing w:after="160" w:line="276"/>
        <w:jc w:val="both"/>
      </w:pPr>
      <w:r>
        <w:rPr>
          <w:rFonts w:ascii="Times New Roman" w:cs="Times New Roman" w:eastAsia="Times New Roman" w:hAnsi="Times New Roman"/>
          <w:sz w:val="22"/>
          <w:szCs w:val="22"/>
        </w:rPr>
        <w:t xml:space="preserve">The vacate deadline imposed by your instrument falls seventy-two hours subsequent to the undersigned's anticipated testimony. Forcible displacement of the testifying complainant during the immediate post-testimony window—from a residence to which the prosecuting authority, defense counsel, and the court each possess service-of-process expectations—satisfies the conduct element of 18 Pa. C.S.A. § 4952 (intimidation of witnesses or victims), a felony of the third degree, and, dependent upon characterization of operative conduct subsequent to testimony, 18 Pa. C.S.A. § 4953 (retaliation against witness, victim, or party), additionally a felony. Both statutes operate independently of the underlying merit of the civil action and attach to any person, including counsel of record, who undertakes qualifying conduct with the requisite mens rea.</w:t>
      </w:r>
    </w:p>
    <w:p>
      <w:pPr>
        <w:spacing w:after="160" w:line="276"/>
        <w:jc w:val="both"/>
      </w:pPr>
      <w:r>
        <w:rPr>
          <w:rFonts w:ascii="Times New Roman" w:cs="Times New Roman" w:eastAsia="Times New Roman" w:hAnsi="Times New Roman"/>
          <w:sz w:val="22"/>
          <w:szCs w:val="22"/>
        </w:rPr>
        <w:t xml:space="preserve">Transmission of this letter, contemporaneously to your firm and to the Office of the District Attorney of Philadelphia County, supplies the actual-knowledge predicate necessary to establish intent under § 4952(a) and § 4953(a) with respect to any further prosecutorial advancement of the May 4, 2026 termination instrument or any complaint filed in furtherance thereof. The undersigned previously documented the witness-intimidation pattern in Philadelphia Police Department Incident Report DC# 26-09-0597175, prepared on May 10, 2026, and presently referred to Detective N. Nguyen of Central Detective Division (215-686-3093) for active investigation.</w:t>
      </w:r>
    </w:p>
    <w:p>
      <w:pPr>
        <w:spacing w:after="160" w:before="240"/>
        <w:jc w:val="left"/>
      </w:pPr>
      <w:r>
        <w:rPr>
          <w:rFonts w:ascii="Times New Roman" w:cs="Times New Roman" w:eastAsia="Times New Roman" w:hAnsi="Times New Roman"/>
          <w:b/>
          <w:bCs/>
          <w:sz w:val="22"/>
          <w:szCs w:val="22"/>
        </w:rPr>
        <w:t xml:space="preserve">IV. Pre-Emptive Defiant-Trespasser Designation</w:t>
      </w:r>
    </w:p>
    <w:p>
      <w:pPr>
        <w:spacing w:after="160" w:line="276"/>
        <w:jc w:val="both"/>
      </w:pPr>
      <w:r>
        <w:rPr>
          <w:rFonts w:ascii="Times New Roman" w:cs="Times New Roman" w:eastAsia="Times New Roman" w:hAnsi="Times New Roman"/>
          <w:sz w:val="22"/>
          <w:szCs w:val="22"/>
        </w:rPr>
        <w:t xml:space="preserve">The unilateral designation of the undersigned as a prospective “defiant trespasser” within the common areas of the leased premises, purportedly effectuated pursuant to 18 Pa. C.S.A. § 3503(a) and (b), constitutes an additional and independently actionable component of the intimidation pattern. A lessee in lawful possession of leased premises cannot, by definitional operation of statute, satisfy the constitutive elements of criminal trespass within the common appurtenances of the lessee's own residence.</w:t>
      </w:r>
    </w:p>
    <w:p>
      <w:pPr>
        <w:spacing w:after="160" w:line="276"/>
        <w:jc w:val="both"/>
      </w:pPr>
      <w:r>
        <w:rPr>
          <w:rFonts w:ascii="Times New Roman" w:cs="Times New Roman" w:eastAsia="Times New Roman" w:hAnsi="Times New Roman"/>
          <w:sz w:val="22"/>
          <w:szCs w:val="22"/>
        </w:rPr>
        <w:t xml:space="preserve">The written pre-designation, transmitted under counsel's signature and foreseeably communicable to responding Philadelphia Police Department personnel, constitutes attempted abuse of process, a constructive overture toward false-arrest exposure for any officer who acts upon the designation, and further evidentiary substantiation of the intimidation pattern enumerated in the preceding section. Such designation has been preserved as exhibit material.</w:t>
      </w:r>
    </w:p>
    <w:p>
      <w:pPr>
        <w:spacing w:after="160" w:before="240"/>
        <w:jc w:val="left"/>
      </w:pPr>
      <w:r>
        <w:rPr>
          <w:rFonts w:ascii="Times New Roman" w:cs="Times New Roman" w:eastAsia="Times New Roman" w:hAnsi="Times New Roman"/>
          <w:b/>
          <w:bCs/>
          <w:sz w:val="22"/>
          <w:szCs w:val="22"/>
        </w:rPr>
        <w:t xml:space="preserve">V. Professional Responsibility Implications</w:t>
      </w:r>
    </w:p>
    <w:p>
      <w:pPr>
        <w:spacing w:after="160" w:line="276"/>
        <w:jc w:val="both"/>
      </w:pPr>
      <w:r>
        <w:rPr>
          <w:rFonts w:ascii="Times New Roman" w:cs="Times New Roman" w:eastAsia="Times New Roman" w:hAnsi="Times New Roman"/>
          <w:sz w:val="22"/>
          <w:szCs w:val="22"/>
        </w:rPr>
        <w:t xml:space="preserve">The aggregate conduct documented herein implicates the following provisions of the Pennsylvania Rules of Professional Conduct:</w:t>
      </w:r>
    </w:p>
    <w:p>
      <w:pPr>
        <w:spacing w:after="60" w:line="276"/>
        <w:ind w:left="360"/>
      </w:pPr>
      <w:r>
        <w:rPr>
          <w:rFonts w:ascii="Times New Roman" w:cs="Times New Roman" w:eastAsia="Times New Roman" w:hAnsi="Times New Roman"/>
          <w:sz w:val="22"/>
          <w:szCs w:val="22"/>
        </w:rPr>
        <w:t xml:space="preserve">Rule 3.1 — Meritorious Claims and Contentions;</w:t>
      </w:r>
    </w:p>
    <w:p>
      <w:pPr>
        <w:spacing w:after="60" w:line="276"/>
        <w:ind w:left="360"/>
      </w:pPr>
      <w:r>
        <w:rPr>
          <w:rFonts w:ascii="Times New Roman" w:cs="Times New Roman" w:eastAsia="Times New Roman" w:hAnsi="Times New Roman"/>
          <w:sz w:val="22"/>
          <w:szCs w:val="22"/>
        </w:rPr>
        <w:t xml:space="preserve">Rule 3.4(f) — Fairness to Opposing Party and Counsel;</w:t>
      </w:r>
    </w:p>
    <w:p>
      <w:pPr>
        <w:spacing w:after="60" w:line="276"/>
        <w:ind w:left="360"/>
      </w:pPr>
      <w:r>
        <w:rPr>
          <w:rFonts w:ascii="Times New Roman" w:cs="Times New Roman" w:eastAsia="Times New Roman" w:hAnsi="Times New Roman"/>
          <w:sz w:val="22"/>
          <w:szCs w:val="22"/>
        </w:rPr>
        <w:t xml:space="preserve">Rule 4.1(a) — Truthfulness in Statements to Others;</w:t>
      </w:r>
    </w:p>
    <w:p>
      <w:pPr>
        <w:spacing w:after="60" w:line="276"/>
        <w:ind w:left="360"/>
      </w:pPr>
      <w:r>
        <w:rPr>
          <w:rFonts w:ascii="Times New Roman" w:cs="Times New Roman" w:eastAsia="Times New Roman" w:hAnsi="Times New Roman"/>
          <w:sz w:val="22"/>
          <w:szCs w:val="22"/>
        </w:rPr>
        <w:t xml:space="preserve">Rule 8.4(b) — Commission of a Criminal Act Reflecting Adversely on Fitness as a Lawyer;</w:t>
      </w:r>
    </w:p>
    <w:p>
      <w:pPr>
        <w:spacing w:after="60" w:line="276"/>
        <w:ind w:left="360"/>
      </w:pPr>
      <w:r>
        <w:rPr>
          <w:rFonts w:ascii="Times New Roman" w:cs="Times New Roman" w:eastAsia="Times New Roman" w:hAnsi="Times New Roman"/>
          <w:sz w:val="22"/>
          <w:szCs w:val="22"/>
        </w:rPr>
        <w:t xml:space="preserve">Rule 8.4(c) — Conduct Involving Dishonesty, Fraud, Deceit, or Misrepresentation; and</w:t>
      </w:r>
    </w:p>
    <w:p>
      <w:pPr>
        <w:spacing w:after="60" w:line="276"/>
        <w:ind w:left="360"/>
      </w:pPr>
      <w:r>
        <w:rPr>
          <w:rFonts w:ascii="Times New Roman" w:cs="Times New Roman" w:eastAsia="Times New Roman" w:hAnsi="Times New Roman"/>
          <w:sz w:val="22"/>
          <w:szCs w:val="22"/>
        </w:rPr>
        <w:t xml:space="preserve">Rule 8.4(d) — Conduct Prejudicial to the Administration of Justice.</w:t>
      </w:r>
    </w:p>
    <w:p>
      <w:pPr>
        <w:spacing w:after="160" w:line="276"/>
        <w:jc w:val="both"/>
      </w:pPr>
      <w:r>
        <w:rPr>
          <w:rFonts w:ascii="Times New Roman" w:cs="Times New Roman" w:eastAsia="Times New Roman" w:hAnsi="Times New Roman"/>
          <w:sz w:val="22"/>
          <w:szCs w:val="22"/>
        </w:rPr>
        <w:t xml:space="preserve">The undersigned expressly reserves the prerogative to submit a corresponding complaint to the Disciplinary Board of the Supreme Court of Pennsylvania, the timing and substantive scope of which shall be calibrated to subsequent conduct undertaken by your firm following receipt of this correspondence.</w:t>
      </w:r>
    </w:p>
    <w:p>
      <w:pPr>
        <w:spacing w:after="160" w:before="240"/>
        <w:jc w:val="left"/>
      </w:pPr>
      <w:r>
        <w:rPr>
          <w:rFonts w:ascii="Times New Roman" w:cs="Times New Roman" w:eastAsia="Times New Roman" w:hAnsi="Times New Roman"/>
          <w:b/>
          <w:bCs/>
          <w:sz w:val="22"/>
          <w:szCs w:val="22"/>
        </w:rPr>
        <w:t xml:space="preserve">VI. Demands</w:t>
      </w:r>
    </w:p>
    <w:p>
      <w:pPr>
        <w:spacing w:after="160" w:line="276"/>
        <w:jc w:val="both"/>
      </w:pPr>
      <w:r>
        <w:rPr>
          <w:rFonts w:ascii="Times New Roman" w:cs="Times New Roman" w:eastAsia="Times New Roman" w:hAnsi="Times New Roman"/>
          <w:sz w:val="22"/>
          <w:szCs w:val="22"/>
        </w:rPr>
        <w:t xml:space="preserve">Predicated upon the foregoing, the undersigned demands the following:</w:t>
      </w:r>
    </w:p>
    <w:p>
      <w:pPr>
        <w:pStyle w:val="ListParagraph"/>
        <w:numPr>
          <w:ilvl w:val="0"/>
          <w:numId w:val="2"/>
        </w:numPr>
        <w:spacing w:after="140" w:line="276"/>
        <w:jc w:val="both"/>
      </w:pPr>
      <w:r>
        <w:rPr>
          <w:rFonts w:ascii="Times New Roman" w:cs="Times New Roman" w:eastAsia="Times New Roman" w:hAnsi="Times New Roman"/>
          <w:sz w:val="22"/>
          <w:szCs w:val="22"/>
        </w:rPr>
        <w:t xml:space="preserve">Immediate written rescission of the Notice to Quit dated May 4, 2026, transmitted to the undersigned by certified mail and electronic correspondence, no later than seven (7) calendar days from the date of this letter;</w:t>
      </w:r>
    </w:p>
    <w:p>
      <w:pPr>
        <w:pStyle w:val="ListParagraph"/>
        <w:numPr>
          <w:ilvl w:val="0"/>
          <w:numId w:val="2"/>
        </w:numPr>
        <w:spacing w:after="140" w:line="276"/>
        <w:jc w:val="both"/>
      </w:pPr>
      <w:r>
        <w:rPr>
          <w:rFonts w:ascii="Times New Roman" w:cs="Times New Roman" w:eastAsia="Times New Roman" w:hAnsi="Times New Roman"/>
          <w:sz w:val="22"/>
          <w:szCs w:val="22"/>
        </w:rPr>
        <w:t xml:space="preserve">Written confirmation that no eviction complaint, possessory action, lockout, utility termination, or further communication predicated upon the May 4, 2026 instrument shall be initiated, transmitted, or facilitated by your firm during the pendency of Commonwealth v. Talley or thereafter without the express concurrence of the Office of the District Attorney of Philadelphia County;</w:t>
      </w:r>
    </w:p>
    <w:p>
      <w:pPr>
        <w:pStyle w:val="ListParagraph"/>
        <w:numPr>
          <w:ilvl w:val="0"/>
          <w:numId w:val="2"/>
        </w:numPr>
        <w:spacing w:after="140" w:line="276"/>
        <w:jc w:val="both"/>
      </w:pPr>
      <w:r>
        <w:rPr>
          <w:rFonts w:ascii="Times New Roman" w:cs="Times New Roman" w:eastAsia="Times New Roman" w:hAnsi="Times New Roman"/>
          <w:sz w:val="22"/>
          <w:szCs w:val="22"/>
        </w:rPr>
        <w:t xml:space="preserve">Written acknowledgment that all communications between your firm, your client, and the undersigned shall be confined to the undersigned's designated correspondence channels and shall not be directed to leasing personnel, concierge personnel, neighboring tenants, or any third party situated at the leased premises.</w:t>
      </w:r>
    </w:p>
    <w:p>
      <w:pPr>
        <w:spacing w:after="160" w:before="240"/>
        <w:jc w:val="left"/>
      </w:pPr>
      <w:r>
        <w:rPr>
          <w:rFonts w:ascii="Times New Roman" w:cs="Times New Roman" w:eastAsia="Times New Roman" w:hAnsi="Times New Roman"/>
          <w:b/>
          <w:bCs/>
          <w:sz w:val="22"/>
          <w:szCs w:val="22"/>
        </w:rPr>
        <w:t xml:space="preserve">VII. Preservation Obligation</w:t>
      </w:r>
    </w:p>
    <w:p>
      <w:pPr>
        <w:spacing w:after="160" w:line="276"/>
        <w:jc w:val="both"/>
      </w:pPr>
      <w:r>
        <w:rPr>
          <w:rFonts w:ascii="Times New Roman" w:cs="Times New Roman" w:eastAsia="Times New Roman" w:hAnsi="Times New Roman"/>
          <w:sz w:val="22"/>
          <w:szCs w:val="22"/>
        </w:rPr>
        <w:t xml:space="preserve">You are hereby placed on notice of an affirmative obligation to preserve, without alteration, deletion, or modification, all communications, internal memoranda, retainer correspondence, intake records, client communications, correspondence with Goldtex Apartments, Greystar Real Estate Partners, LLC, Post Goldtex, L.P., affiliated entities, and any subsequently generated litigation file pertaining to the leased premises, inclusive of metadata and electronically stored information. Spoliation occurring subsequent to receipt of this letter shall be presumptively adverse and subject to the full remedial scope available under Pennsylvania spoliation jurisprudence.</w:t>
      </w:r>
    </w:p>
    <w:p>
      <w:pPr>
        <w:spacing w:after="160" w:line="276"/>
        <w:jc w:val="both"/>
      </w:pPr>
      <w:r>
        <w:rPr>
          <w:rFonts w:ascii="Times New Roman" w:cs="Times New Roman" w:eastAsia="Times New Roman" w:hAnsi="Times New Roman"/>
          <w:sz w:val="22"/>
          <w:szCs w:val="22"/>
        </w:rPr>
        <w:t xml:space="preserve">This correspondence is transmitted contemporaneously to the Office of the District Attorney of Philadelphia County, to Detective N. Nguyen of the Central Detective Division, and shall be lodged in the evidentiary record of Commonwealth v. Talley, CP-51-CR-0000673-2026.</w:t>
      </w:r>
    </w:p>
    <w:p>
      <w:pPr>
        <w:spacing w:after="160" w:line="276"/>
        <w:jc w:val="both"/>
      </w:pPr>
      <w:r>
        <w:rPr>
          <w:rFonts w:ascii="Times New Roman" w:cs="Times New Roman" w:eastAsia="Times New Roman" w:hAnsi="Times New Roman"/>
          <w:sz w:val="22"/>
          <w:szCs w:val="22"/>
        </w:rPr>
        <w:t xml:space="preserve">Govern yourself accordingly.</w:t>
      </w:r>
    </w:p>
    <w:p>
      <w:r>
        <w:rPr>
          <w:rFonts w:ascii="Times New Roman" w:cs="Times New Roman" w:eastAsia="Times New Roman" w:hAnsi="Times New Roman"/>
          <w:sz w:val="22"/>
          <w:szCs w:val="22"/>
        </w:rPr>
        <w:t xml:space="preserve"/>
      </w:r>
    </w:p>
    <w:p>
      <w:pPr>
        <w:spacing w:after="60" w:line="276"/>
        <w:jc w:val="left"/>
      </w:pPr>
      <w:r>
        <w:rPr>
          <w:rFonts w:ascii="Times New Roman" w:cs="Times New Roman" w:eastAsia="Times New Roman" w:hAnsi="Times New Roman"/>
          <w:sz w:val="22"/>
          <w:szCs w:val="22"/>
        </w:rPr>
        <w:t xml:space="preserve">Respectfully,</w:t>
      </w:r>
    </w:p>
    <w:p>
      <w:r>
        <w:rPr>
          <w:rFonts w:ascii="Times New Roman" w:cs="Times New Roman" w:eastAsia="Times New Roman" w:hAnsi="Times New Roman"/>
          <w:sz w:val="22"/>
          <w:szCs w:val="22"/>
        </w:rPr>
        <w:t xml:space="preserve"/>
      </w:r>
    </w:p>
    <w:p>
      <w:r>
        <w:rPr>
          <w:rFonts w:ascii="Times New Roman" w:cs="Times New Roman" w:eastAsia="Times New Roman" w:hAnsi="Times New Roman"/>
          <w:sz w:val="22"/>
          <w:szCs w:val="22"/>
        </w:rPr>
        <w:t xml:space="preserve"/>
      </w:r>
    </w:p>
    <w:p>
      <w:pPr>
        <w:spacing w:after="60" w:line="276"/>
        <w:jc w:val="left"/>
      </w:pPr>
      <w:r>
        <w:rPr>
          <w:rFonts w:ascii="Times New Roman" w:cs="Times New Roman" w:eastAsia="Times New Roman" w:hAnsi="Times New Roman"/>
          <w:sz w:val="22"/>
          <w:szCs w:val="22"/>
        </w:rPr>
        <w:t xml:space="preserve">Justin Horn</w:t>
      </w:r>
    </w:p>
    <w:p>
      <w:pPr>
        <w:spacing w:after="60" w:line="276"/>
        <w:jc w:val="left"/>
      </w:pPr>
      <w:r>
        <w:rPr>
          <w:rFonts w:ascii="Times New Roman" w:cs="Times New Roman" w:eastAsia="Times New Roman" w:hAnsi="Times New Roman"/>
          <w:sz w:val="22"/>
          <w:szCs w:val="22"/>
        </w:rPr>
        <w:t xml:space="preserve">315 N. 12th Street, Apt. #806</w:t>
      </w:r>
    </w:p>
    <w:p>
      <w:pPr>
        <w:spacing w:after="60" w:line="276"/>
        <w:jc w:val="left"/>
      </w:pPr>
      <w:r>
        <w:rPr>
          <w:rFonts w:ascii="Times New Roman" w:cs="Times New Roman" w:eastAsia="Times New Roman" w:hAnsi="Times New Roman"/>
          <w:sz w:val="22"/>
          <w:szCs w:val="22"/>
        </w:rPr>
        <w:t xml:space="preserve">Philadelphia, PA 19107</w:t>
      </w:r>
    </w:p>
    <w:p>
      <w:r>
        <w:rPr>
          <w:rFonts w:ascii="Times New Roman" w:cs="Times New Roman" w:eastAsia="Times New Roman" w:hAnsi="Times New Roman"/>
          <w:sz w:val="22"/>
          <w:szCs w:val="22"/>
        </w:rPr>
        <w:t xml:space="preserve"/>
      </w:r>
    </w:p>
    <w:p>
      <w:pPr>
        <w:spacing w:after="60"/>
      </w:pPr>
      <w:r>
        <w:rPr>
          <w:rFonts w:ascii="Times New Roman" w:cs="Times New Roman" w:eastAsia="Times New Roman" w:hAnsi="Times New Roman"/>
          <w:b/>
          <w:bCs/>
          <w:sz w:val="22"/>
          <w:szCs w:val="22"/>
        </w:rPr>
        <w:t xml:space="preserve">cc:</w:t>
      </w:r>
    </w:p>
    <w:p>
      <w:pPr>
        <w:spacing w:after="60" w:line="276"/>
        <w:jc w:val="left"/>
      </w:pPr>
      <w:r>
        <w:rPr>
          <w:rFonts w:ascii="Times New Roman" w:cs="Times New Roman" w:eastAsia="Times New Roman" w:hAnsi="Times New Roman"/>
          <w:sz w:val="22"/>
          <w:szCs w:val="22"/>
        </w:rPr>
        <w:t xml:space="preserve">      Paul Jay Cohen, Esq., Managing Partner, Cohen Marraccini, LLC</w:t>
      </w:r>
    </w:p>
    <w:p>
      <w:pPr>
        <w:spacing w:after="60" w:line="276"/>
        <w:jc w:val="left"/>
      </w:pPr>
      <w:r>
        <w:rPr>
          <w:rFonts w:ascii="Times New Roman" w:cs="Times New Roman" w:eastAsia="Times New Roman" w:hAnsi="Times New Roman"/>
          <w:sz w:val="22"/>
          <w:szCs w:val="22"/>
        </w:rPr>
        <w:t xml:space="preserve">      Office of the District Attorney of Philadelphia County</w:t>
      </w:r>
    </w:p>
    <w:p>
      <w:pPr>
        <w:spacing w:after="60" w:line="276"/>
        <w:jc w:val="left"/>
      </w:pPr>
      <w:r>
        <w:rPr>
          <w:rFonts w:ascii="Times New Roman" w:cs="Times New Roman" w:eastAsia="Times New Roman" w:hAnsi="Times New Roman"/>
          <w:sz w:val="22"/>
          <w:szCs w:val="22"/>
        </w:rPr>
        <w:t xml:space="preserve">      Detective N. Nguyen, Central Detective Division, Philadelphia Police Department</w:t>
      </w:r>
    </w:p>
    <w:p>
      <w:pPr>
        <w:spacing w:after="60" w:line="276"/>
        <w:jc w:val="left"/>
      </w:pPr>
      <w:r>
        <w:rPr>
          <w:rFonts w:ascii="Times New Roman" w:cs="Times New Roman" w:eastAsia="Times New Roman" w:hAnsi="Times New Roman"/>
          <w:sz w:val="22"/>
          <w:szCs w:val="22"/>
        </w:rPr>
        <w:t xml:space="preserve">      [File copy — Commonwealth v. Talley, CP-51-CR-0000673-2026]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2026-05-28T00:37:56.248Z</dcterms:created>
  <dcterms:modified xsi:type="dcterms:W3CDTF">2026-05-28T00:37:56.248Z</dcterms:modified>
</cp:coreProperties>
</file>

<file path=docProps/custom.xml><?xml version="1.0" encoding="utf-8"?>
<Properties xmlns="http://schemas.openxmlformats.org/officeDocument/2006/custom-properties" xmlns:vt="http://schemas.openxmlformats.org/officeDocument/2006/docPropsVTypes"/>
</file>