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8371" w14:textId="77777777" w:rsidR="002C5E69" w:rsidRDefault="00000000">
      <w:pPr>
        <w:ind w:left="720"/>
        <w:rPr>
          <w:sz w:val="20"/>
        </w:rPr>
      </w:pPr>
      <w:r>
        <w:rPr>
          <w:noProof/>
          <w:sz w:val="20"/>
        </w:rPr>
        <w:drawing>
          <wp:inline distT="0" distB="0" distL="0" distR="0" wp14:anchorId="0478498E" wp14:editId="15AA8576">
            <wp:extent cx="5460365" cy="606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60883" cy="606932"/>
                    </a:xfrm>
                    <a:prstGeom prst="rect">
                      <a:avLst/>
                    </a:prstGeom>
                  </pic:spPr>
                </pic:pic>
              </a:graphicData>
            </a:graphic>
          </wp:inline>
        </w:drawing>
      </w:r>
    </w:p>
    <w:p w14:paraId="41C88966" w14:textId="77777777" w:rsidR="002C5E69" w:rsidRDefault="00000000">
      <w:pPr>
        <w:pStyle w:val="Heading1"/>
      </w:pPr>
      <w:r>
        <w:rPr>
          <w:color w:val="0A0A0A"/>
          <w:w w:val="90"/>
        </w:rPr>
        <w:t>STUDENT</w:t>
      </w:r>
      <w:r>
        <w:rPr>
          <w:color w:val="0A0A0A"/>
          <w:spacing w:val="51"/>
        </w:rPr>
        <w:t xml:space="preserve"> </w:t>
      </w:r>
      <w:r>
        <w:rPr>
          <w:color w:val="0A0A0A"/>
          <w:w w:val="90"/>
        </w:rPr>
        <w:t>CASE</w:t>
      </w:r>
      <w:r>
        <w:rPr>
          <w:color w:val="0A0A0A"/>
          <w:spacing w:val="16"/>
        </w:rPr>
        <w:t xml:space="preserve"> </w:t>
      </w:r>
      <w:r>
        <w:rPr>
          <w:color w:val="0A0A0A"/>
          <w:w w:val="90"/>
        </w:rPr>
        <w:t>STUDY</w:t>
      </w:r>
      <w:r>
        <w:rPr>
          <w:color w:val="0A0A0A"/>
          <w:spacing w:val="29"/>
        </w:rPr>
        <w:t xml:space="preserve"> </w:t>
      </w:r>
      <w:r>
        <w:rPr>
          <w:color w:val="0A0A0A"/>
          <w:w w:val="90"/>
        </w:rPr>
        <w:t>EXECUTION</w:t>
      </w:r>
      <w:r>
        <w:rPr>
          <w:color w:val="0A0A0A"/>
          <w:spacing w:val="57"/>
        </w:rPr>
        <w:t xml:space="preserve"> </w:t>
      </w:r>
      <w:r>
        <w:rPr>
          <w:color w:val="0A0A0A"/>
          <w:spacing w:val="-2"/>
          <w:w w:val="90"/>
        </w:rPr>
        <w:t>REPORT</w:t>
      </w:r>
    </w:p>
    <w:p w14:paraId="454BF7EE" w14:textId="77777777" w:rsidR="002C5E69" w:rsidRDefault="002C5E69">
      <w:pPr>
        <w:pStyle w:val="BodyText"/>
        <w:spacing w:before="37"/>
        <w:rPr>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35"/>
        <w:gridCol w:w="8076"/>
      </w:tblGrid>
      <w:tr w:rsidR="002C5E69" w14:paraId="1D5DB678" w14:textId="77777777">
        <w:trPr>
          <w:trHeight w:val="253"/>
        </w:trPr>
        <w:tc>
          <w:tcPr>
            <w:tcW w:w="2735" w:type="dxa"/>
            <w:tcBorders>
              <w:left w:val="single" w:sz="2" w:space="0" w:color="000000"/>
            </w:tcBorders>
          </w:tcPr>
          <w:p w14:paraId="0E733231" w14:textId="77777777" w:rsidR="002C5E69" w:rsidRDefault="00000000">
            <w:pPr>
              <w:pStyle w:val="TableParagraph"/>
              <w:spacing w:line="230" w:lineRule="exact"/>
              <w:ind w:left="129"/>
              <w:rPr>
                <w:b/>
              </w:rPr>
            </w:pPr>
            <w:r>
              <w:rPr>
                <w:b/>
                <w:color w:val="0A0A0A"/>
                <w:spacing w:val="-2"/>
                <w:w w:val="105"/>
              </w:rPr>
              <w:t>Department</w:t>
            </w:r>
          </w:p>
        </w:tc>
        <w:tc>
          <w:tcPr>
            <w:tcW w:w="8076" w:type="dxa"/>
          </w:tcPr>
          <w:p w14:paraId="74593546" w14:textId="77777777" w:rsidR="002C5E69" w:rsidRDefault="00000000">
            <w:pPr>
              <w:pStyle w:val="TableParagraph"/>
              <w:spacing w:line="230" w:lineRule="exact"/>
              <w:ind w:left="116"/>
            </w:pPr>
            <w:r>
              <w:rPr>
                <w:color w:val="0A0A0A"/>
                <w:spacing w:val="-5"/>
              </w:rPr>
              <w:t>FED</w:t>
            </w:r>
          </w:p>
        </w:tc>
      </w:tr>
      <w:tr w:rsidR="002C5E69" w14:paraId="52853271" w14:textId="77777777">
        <w:trPr>
          <w:trHeight w:val="258"/>
        </w:trPr>
        <w:tc>
          <w:tcPr>
            <w:tcW w:w="2735" w:type="dxa"/>
            <w:tcBorders>
              <w:left w:val="single" w:sz="2" w:space="0" w:color="000000"/>
            </w:tcBorders>
          </w:tcPr>
          <w:p w14:paraId="2F2DCCC5" w14:textId="77777777" w:rsidR="002C5E69" w:rsidRDefault="00000000">
            <w:pPr>
              <w:pStyle w:val="TableParagraph"/>
              <w:spacing w:line="235" w:lineRule="exact"/>
              <w:ind w:left="115"/>
              <w:rPr>
                <w:b/>
              </w:rPr>
            </w:pPr>
            <w:r>
              <w:rPr>
                <w:b/>
                <w:color w:val="0A0A0A"/>
                <w:spacing w:val="-2"/>
                <w:w w:val="105"/>
              </w:rPr>
              <w:t>Subject</w:t>
            </w:r>
          </w:p>
        </w:tc>
        <w:tc>
          <w:tcPr>
            <w:tcW w:w="8076" w:type="dxa"/>
          </w:tcPr>
          <w:p w14:paraId="0B157DBB" w14:textId="77777777" w:rsidR="002C5E69" w:rsidRDefault="00000000">
            <w:pPr>
              <w:pStyle w:val="TableParagraph"/>
              <w:spacing w:line="229" w:lineRule="exact"/>
              <w:ind w:left="116"/>
              <w:rPr>
                <w:sz w:val="21"/>
              </w:rPr>
            </w:pPr>
            <w:r>
              <w:rPr>
                <w:color w:val="0A0A0A"/>
                <w:w w:val="90"/>
                <w:sz w:val="21"/>
              </w:rPr>
              <w:t>DSA-</w:t>
            </w:r>
            <w:r>
              <w:rPr>
                <w:color w:val="0A0A0A"/>
                <w:spacing w:val="-10"/>
                <w:sz w:val="21"/>
              </w:rPr>
              <w:t>2</w:t>
            </w:r>
          </w:p>
        </w:tc>
      </w:tr>
      <w:tr w:rsidR="002C5E69" w14:paraId="7FFEFB0A" w14:textId="77777777">
        <w:trPr>
          <w:trHeight w:val="186"/>
        </w:trPr>
        <w:tc>
          <w:tcPr>
            <w:tcW w:w="2735" w:type="dxa"/>
            <w:tcBorders>
              <w:left w:val="single" w:sz="2" w:space="0" w:color="000000"/>
            </w:tcBorders>
          </w:tcPr>
          <w:p w14:paraId="5AED0C24" w14:textId="77777777" w:rsidR="002C5E69" w:rsidRDefault="00000000">
            <w:pPr>
              <w:pStyle w:val="TableParagraph"/>
              <w:spacing w:line="236" w:lineRule="exact"/>
              <w:ind w:left="115"/>
              <w:rPr>
                <w:b/>
              </w:rPr>
            </w:pPr>
            <w:r>
              <w:rPr>
                <w:b/>
                <w:color w:val="0A0A0A"/>
                <w:w w:val="105"/>
              </w:rPr>
              <w:t>Academic</w:t>
            </w:r>
            <w:r>
              <w:rPr>
                <w:b/>
                <w:color w:val="0A0A0A"/>
                <w:spacing w:val="-2"/>
                <w:w w:val="105"/>
              </w:rPr>
              <w:t xml:space="preserve"> </w:t>
            </w:r>
            <w:r>
              <w:rPr>
                <w:b/>
                <w:color w:val="0A0A0A"/>
                <w:spacing w:val="-4"/>
                <w:w w:val="105"/>
              </w:rPr>
              <w:t>Year</w:t>
            </w:r>
          </w:p>
        </w:tc>
        <w:tc>
          <w:tcPr>
            <w:tcW w:w="8076" w:type="dxa"/>
          </w:tcPr>
          <w:p w14:paraId="52F79AEB" w14:textId="77777777" w:rsidR="002C5E69" w:rsidRDefault="00000000">
            <w:pPr>
              <w:pStyle w:val="TableParagraph"/>
              <w:spacing w:line="229" w:lineRule="exact"/>
              <w:ind w:left="115"/>
              <w:rPr>
                <w:sz w:val="21"/>
              </w:rPr>
            </w:pPr>
            <w:r>
              <w:rPr>
                <w:color w:val="0A0A0A"/>
                <w:w w:val="110"/>
                <w:sz w:val="21"/>
              </w:rPr>
              <w:t>I-III</w:t>
            </w:r>
            <w:r>
              <w:rPr>
                <w:color w:val="0A0A0A"/>
                <w:spacing w:val="-7"/>
                <w:w w:val="110"/>
                <w:sz w:val="21"/>
              </w:rPr>
              <w:t xml:space="preserve"> </w:t>
            </w:r>
            <w:r>
              <w:rPr>
                <w:color w:val="0A0A0A"/>
                <w:w w:val="110"/>
                <w:sz w:val="21"/>
              </w:rPr>
              <w:t>Semester</w:t>
            </w:r>
            <w:r>
              <w:rPr>
                <w:color w:val="0A0A0A"/>
                <w:spacing w:val="7"/>
                <w:w w:val="110"/>
                <w:sz w:val="21"/>
              </w:rPr>
              <w:t xml:space="preserve"> </w:t>
            </w:r>
            <w:r>
              <w:rPr>
                <w:color w:val="0A0A0A"/>
                <w:w w:val="110"/>
                <w:sz w:val="21"/>
              </w:rPr>
              <w:t>(2025-</w:t>
            </w:r>
            <w:r>
              <w:rPr>
                <w:color w:val="0A0A0A"/>
                <w:spacing w:val="-5"/>
                <w:w w:val="110"/>
                <w:sz w:val="21"/>
              </w:rPr>
              <w:t>26)</w:t>
            </w:r>
          </w:p>
        </w:tc>
      </w:tr>
      <w:tr w:rsidR="002C5E69" w14:paraId="56B1357F" w14:textId="77777777">
        <w:trPr>
          <w:trHeight w:val="258"/>
        </w:trPr>
        <w:tc>
          <w:tcPr>
            <w:tcW w:w="2735" w:type="dxa"/>
            <w:tcBorders>
              <w:left w:val="single" w:sz="2" w:space="0" w:color="000000"/>
            </w:tcBorders>
          </w:tcPr>
          <w:p w14:paraId="73F1AE62" w14:textId="77777777" w:rsidR="002C5E69" w:rsidRDefault="00000000">
            <w:pPr>
              <w:pStyle w:val="TableParagraph"/>
              <w:spacing w:line="234" w:lineRule="exact"/>
              <w:ind w:left="127"/>
              <w:rPr>
                <w:b/>
              </w:rPr>
            </w:pPr>
            <w:r>
              <w:rPr>
                <w:b/>
                <w:color w:val="0A0A0A"/>
              </w:rPr>
              <w:t>Faculty</w:t>
            </w:r>
            <w:r>
              <w:rPr>
                <w:b/>
                <w:color w:val="0A0A0A"/>
                <w:spacing w:val="20"/>
              </w:rPr>
              <w:t xml:space="preserve"> </w:t>
            </w:r>
            <w:r>
              <w:rPr>
                <w:b/>
                <w:color w:val="0A0A0A"/>
                <w:spacing w:val="-4"/>
              </w:rPr>
              <w:t>Name</w:t>
            </w:r>
          </w:p>
        </w:tc>
        <w:tc>
          <w:tcPr>
            <w:tcW w:w="8076" w:type="dxa"/>
          </w:tcPr>
          <w:p w14:paraId="19BBDA45" w14:textId="77777777" w:rsidR="002C5E69" w:rsidRDefault="00000000">
            <w:pPr>
              <w:pStyle w:val="TableParagraph"/>
              <w:rPr>
                <w:sz w:val="20"/>
                <w:szCs w:val="20"/>
              </w:rPr>
            </w:pPr>
            <w:r>
              <w:rPr>
                <w:sz w:val="18"/>
              </w:rPr>
              <w:t xml:space="preserve">  </w:t>
            </w:r>
            <w:proofErr w:type="spellStart"/>
            <w:r>
              <w:rPr>
                <w:sz w:val="18"/>
              </w:rPr>
              <w:t>Dr.Sukanya.L</w:t>
            </w:r>
            <w:proofErr w:type="spellEnd"/>
          </w:p>
        </w:tc>
      </w:tr>
      <w:tr w:rsidR="002C5E69" w14:paraId="337B8F42" w14:textId="77777777">
        <w:trPr>
          <w:trHeight w:val="258"/>
        </w:trPr>
        <w:tc>
          <w:tcPr>
            <w:tcW w:w="2735" w:type="dxa"/>
            <w:tcBorders>
              <w:left w:val="single" w:sz="2" w:space="0" w:color="000000"/>
            </w:tcBorders>
          </w:tcPr>
          <w:p w14:paraId="675E3E53" w14:textId="77777777" w:rsidR="002C5E69" w:rsidRDefault="00000000">
            <w:pPr>
              <w:pStyle w:val="TableParagraph"/>
              <w:spacing w:line="234" w:lineRule="exact"/>
              <w:ind w:left="115"/>
              <w:rPr>
                <w:b/>
              </w:rPr>
            </w:pPr>
            <w:r>
              <w:rPr>
                <w:b/>
                <w:color w:val="0A0A0A"/>
                <w:w w:val="105"/>
              </w:rPr>
              <w:t>Student</w:t>
            </w:r>
            <w:r>
              <w:rPr>
                <w:b/>
                <w:color w:val="0A0A0A"/>
                <w:spacing w:val="14"/>
                <w:w w:val="105"/>
              </w:rPr>
              <w:t xml:space="preserve"> </w:t>
            </w:r>
            <w:r>
              <w:rPr>
                <w:b/>
                <w:color w:val="0A0A0A"/>
                <w:spacing w:val="-4"/>
                <w:w w:val="105"/>
              </w:rPr>
              <w:t>Name</w:t>
            </w:r>
          </w:p>
        </w:tc>
        <w:tc>
          <w:tcPr>
            <w:tcW w:w="8076" w:type="dxa"/>
          </w:tcPr>
          <w:p w14:paraId="2589D34A" w14:textId="6177C212" w:rsidR="002C5E69" w:rsidRDefault="00000000">
            <w:pPr>
              <w:pStyle w:val="TableParagraph"/>
              <w:rPr>
                <w:sz w:val="18"/>
              </w:rPr>
            </w:pPr>
            <w:r>
              <w:rPr>
                <w:sz w:val="18"/>
              </w:rPr>
              <w:t xml:space="preserve">  T</w:t>
            </w:r>
            <w:r w:rsidR="00392AD3">
              <w:rPr>
                <w:sz w:val="18"/>
              </w:rPr>
              <w:t xml:space="preserve">humu </w:t>
            </w:r>
            <w:r>
              <w:rPr>
                <w:sz w:val="18"/>
              </w:rPr>
              <w:t>Hemanth Kumar</w:t>
            </w:r>
          </w:p>
        </w:tc>
      </w:tr>
      <w:tr w:rsidR="002C5E69" w14:paraId="2AEB534D" w14:textId="77777777">
        <w:trPr>
          <w:trHeight w:val="254"/>
        </w:trPr>
        <w:tc>
          <w:tcPr>
            <w:tcW w:w="2735" w:type="dxa"/>
            <w:tcBorders>
              <w:left w:val="single" w:sz="2" w:space="0" w:color="000000"/>
            </w:tcBorders>
          </w:tcPr>
          <w:p w14:paraId="2633947F" w14:textId="77777777" w:rsidR="002C5E69" w:rsidRDefault="00000000">
            <w:pPr>
              <w:pStyle w:val="TableParagraph"/>
              <w:spacing w:line="230" w:lineRule="exact"/>
              <w:ind w:left="127"/>
              <w:rPr>
                <w:b/>
              </w:rPr>
            </w:pPr>
            <w:r>
              <w:rPr>
                <w:b/>
                <w:color w:val="0A0A0A"/>
              </w:rPr>
              <w:t>Roll</w:t>
            </w:r>
            <w:r>
              <w:rPr>
                <w:b/>
                <w:color w:val="0A0A0A"/>
                <w:spacing w:val="3"/>
              </w:rPr>
              <w:t xml:space="preserve"> </w:t>
            </w:r>
            <w:r>
              <w:rPr>
                <w:b/>
                <w:color w:val="0A0A0A"/>
                <w:spacing w:val="-2"/>
              </w:rPr>
              <w:t>Number</w:t>
            </w:r>
          </w:p>
        </w:tc>
        <w:tc>
          <w:tcPr>
            <w:tcW w:w="8076" w:type="dxa"/>
          </w:tcPr>
          <w:p w14:paraId="23D4847C" w14:textId="77777777" w:rsidR="002C5E69" w:rsidRDefault="00000000">
            <w:pPr>
              <w:pStyle w:val="TableParagraph"/>
              <w:rPr>
                <w:sz w:val="18"/>
              </w:rPr>
            </w:pPr>
            <w:r>
              <w:rPr>
                <w:sz w:val="18"/>
              </w:rPr>
              <w:t xml:space="preserve">  2520090074</w:t>
            </w:r>
          </w:p>
        </w:tc>
      </w:tr>
      <w:tr w:rsidR="002C5E69" w14:paraId="091F57DD" w14:textId="77777777">
        <w:trPr>
          <w:trHeight w:val="257"/>
        </w:trPr>
        <w:tc>
          <w:tcPr>
            <w:tcW w:w="2735" w:type="dxa"/>
            <w:tcBorders>
              <w:left w:val="single" w:sz="2" w:space="0" w:color="000000"/>
              <w:bottom w:val="single" w:sz="6" w:space="0" w:color="000000"/>
            </w:tcBorders>
          </w:tcPr>
          <w:p w14:paraId="20E78B0A" w14:textId="77777777" w:rsidR="002C5E69" w:rsidRDefault="00000000">
            <w:pPr>
              <w:pStyle w:val="TableParagraph"/>
              <w:spacing w:line="235" w:lineRule="exact"/>
              <w:ind w:left="127"/>
              <w:rPr>
                <w:b/>
              </w:rPr>
            </w:pPr>
            <w:r>
              <w:rPr>
                <w:b/>
                <w:color w:val="0A0A0A"/>
                <w:spacing w:val="-2"/>
                <w:w w:val="105"/>
              </w:rPr>
              <w:t>Branch</w:t>
            </w:r>
          </w:p>
        </w:tc>
        <w:tc>
          <w:tcPr>
            <w:tcW w:w="8076" w:type="dxa"/>
            <w:tcBorders>
              <w:bottom w:val="single" w:sz="6" w:space="0" w:color="000000"/>
            </w:tcBorders>
          </w:tcPr>
          <w:p w14:paraId="6DCDBED8" w14:textId="77777777" w:rsidR="002C5E69" w:rsidRDefault="00000000">
            <w:pPr>
              <w:pStyle w:val="TableParagraph"/>
              <w:rPr>
                <w:sz w:val="18"/>
              </w:rPr>
            </w:pPr>
            <w:r>
              <w:rPr>
                <w:sz w:val="18"/>
              </w:rPr>
              <w:t xml:space="preserve">  CSIT</w:t>
            </w:r>
          </w:p>
        </w:tc>
      </w:tr>
      <w:tr w:rsidR="002C5E69" w14:paraId="603B0049" w14:textId="77777777">
        <w:trPr>
          <w:trHeight w:val="257"/>
        </w:trPr>
        <w:tc>
          <w:tcPr>
            <w:tcW w:w="2735" w:type="dxa"/>
            <w:tcBorders>
              <w:top w:val="single" w:sz="6" w:space="0" w:color="000000"/>
              <w:left w:val="single" w:sz="2" w:space="0" w:color="000000"/>
            </w:tcBorders>
          </w:tcPr>
          <w:p w14:paraId="127A6246" w14:textId="77777777" w:rsidR="002C5E69" w:rsidRDefault="00000000">
            <w:pPr>
              <w:pStyle w:val="TableParagraph"/>
              <w:spacing w:line="236" w:lineRule="exact"/>
              <w:ind w:left="123"/>
              <w:rPr>
                <w:b/>
              </w:rPr>
            </w:pPr>
            <w:r>
              <w:rPr>
                <w:b/>
                <w:color w:val="0A0A0A"/>
              </w:rPr>
              <w:t>Course</w:t>
            </w:r>
            <w:r>
              <w:rPr>
                <w:b/>
                <w:color w:val="0A0A0A"/>
                <w:spacing w:val="12"/>
              </w:rPr>
              <w:t xml:space="preserve"> </w:t>
            </w:r>
            <w:r>
              <w:rPr>
                <w:b/>
                <w:color w:val="0A0A0A"/>
                <w:spacing w:val="-2"/>
              </w:rPr>
              <w:t>Outcome</w:t>
            </w:r>
          </w:p>
        </w:tc>
        <w:tc>
          <w:tcPr>
            <w:tcW w:w="8076" w:type="dxa"/>
            <w:tcBorders>
              <w:top w:val="single" w:sz="6" w:space="0" w:color="000000"/>
            </w:tcBorders>
          </w:tcPr>
          <w:p w14:paraId="7C18D89D" w14:textId="77777777" w:rsidR="002C5E69" w:rsidRDefault="00000000">
            <w:pPr>
              <w:pStyle w:val="TableParagraph"/>
              <w:rPr>
                <w:sz w:val="18"/>
              </w:rPr>
            </w:pPr>
            <w:r>
              <w:rPr>
                <w:sz w:val="18"/>
              </w:rPr>
              <w:t xml:space="preserve">   I</w:t>
            </w:r>
          </w:p>
        </w:tc>
      </w:tr>
    </w:tbl>
    <w:p w14:paraId="5286D718" w14:textId="2869CD61" w:rsidR="002C5E69" w:rsidRDefault="00000000">
      <w:pPr>
        <w:spacing w:before="243"/>
        <w:ind w:left="724"/>
        <w:rPr>
          <w:rStyle w:val="Strong"/>
          <w:rFonts w:ascii="Segoe UI" w:eastAsia="Segoe UI" w:hAnsi="Segoe UI" w:cs="Segoe UI"/>
          <w:color w:val="1A1A1A"/>
          <w:sz w:val="17"/>
          <w:szCs w:val="17"/>
          <w:shd w:val="clear" w:color="auto" w:fill="F2EBDB"/>
        </w:rPr>
      </w:pPr>
      <w:r>
        <w:rPr>
          <w:b/>
          <w:color w:val="0A0A0A"/>
          <w:sz w:val="20"/>
        </w:rPr>
        <w:t>Case</w:t>
      </w:r>
      <w:r>
        <w:rPr>
          <w:b/>
          <w:color w:val="0A0A0A"/>
          <w:spacing w:val="1"/>
          <w:sz w:val="20"/>
        </w:rPr>
        <w:t xml:space="preserve"> </w:t>
      </w:r>
      <w:r>
        <w:rPr>
          <w:b/>
          <w:color w:val="0A0A0A"/>
          <w:sz w:val="20"/>
        </w:rPr>
        <w:t>Study</w:t>
      </w:r>
      <w:r>
        <w:rPr>
          <w:b/>
          <w:color w:val="0A0A0A"/>
          <w:spacing w:val="-2"/>
          <w:sz w:val="20"/>
        </w:rPr>
        <w:t xml:space="preserve"> </w:t>
      </w:r>
      <w:r>
        <w:rPr>
          <w:b/>
          <w:color w:val="0A0A0A"/>
          <w:sz w:val="20"/>
        </w:rPr>
        <w:t>Topic:</w:t>
      </w:r>
      <w:r>
        <w:rPr>
          <w:b/>
          <w:color w:val="0A0A0A"/>
          <w:spacing w:val="45"/>
          <w:sz w:val="20"/>
        </w:rPr>
        <w:t xml:space="preserve"> </w:t>
      </w:r>
      <w:r w:rsidR="00392AD3" w:rsidRPr="00392AD3">
        <w:rPr>
          <w:b/>
          <w:bCs/>
          <w:color w:val="0A0A0A"/>
          <w:spacing w:val="45"/>
          <w:sz w:val="20"/>
        </w:rPr>
        <w:t>TikTok feed-recency index — AVL with lazy deletion for muted users</w:t>
      </w:r>
    </w:p>
    <w:p w14:paraId="6A46AB3D" w14:textId="77777777" w:rsidR="006D3F43" w:rsidRPr="006D3F43" w:rsidRDefault="006D3F43" w:rsidP="006D3F43">
      <w:pPr>
        <w:pStyle w:val="BodyText"/>
        <w:spacing w:before="16"/>
        <w:rPr>
          <w:sz w:val="16"/>
          <w:szCs w:val="16"/>
        </w:rPr>
      </w:pPr>
      <w:r w:rsidRPr="006D3F43">
        <w:rPr>
          <w:sz w:val="16"/>
          <w:szCs w:val="16"/>
        </w:rPr>
        <w:t>Here's a comprehensive answer to all three parts of the question:</w:t>
      </w:r>
    </w:p>
    <w:p w14:paraId="6C8FAB98" w14:textId="77777777" w:rsidR="006D3F43" w:rsidRPr="006D3F43" w:rsidRDefault="006D3F43" w:rsidP="006D3F43">
      <w:pPr>
        <w:pStyle w:val="BodyText"/>
        <w:spacing w:before="16"/>
        <w:rPr>
          <w:sz w:val="16"/>
          <w:szCs w:val="16"/>
        </w:rPr>
      </w:pPr>
      <w:r w:rsidRPr="006D3F43">
        <w:rPr>
          <w:sz w:val="16"/>
          <w:szCs w:val="16"/>
        </w:rPr>
        <w:t>(a)(</w:t>
      </w:r>
      <w:proofErr w:type="spellStart"/>
      <w:r w:rsidRPr="006D3F43">
        <w:rPr>
          <w:sz w:val="16"/>
          <w:szCs w:val="16"/>
        </w:rPr>
        <w:t>i</w:t>
      </w:r>
      <w:proofErr w:type="spellEnd"/>
      <w:r w:rsidRPr="006D3F43">
        <w:rPr>
          <w:sz w:val="16"/>
          <w:szCs w:val="16"/>
        </w:rPr>
        <w:t>) — Trade-offs: Lazy vs Eager Deletion</w:t>
      </w:r>
    </w:p>
    <w:p w14:paraId="5EB6E213" w14:textId="77777777" w:rsidR="006D3F43" w:rsidRPr="006D3F43" w:rsidRDefault="006D3F43" w:rsidP="006D3F43">
      <w:pPr>
        <w:pStyle w:val="BodyText"/>
        <w:spacing w:before="16"/>
        <w:rPr>
          <w:sz w:val="16"/>
          <w:szCs w:val="16"/>
        </w:rPr>
      </w:pPr>
      <w:r w:rsidRPr="006D3F43">
        <w:rPr>
          <w:sz w:val="16"/>
          <w:szCs w:val="16"/>
        </w:rPr>
        <w:t>Lazy deletion marks nodes with a tombstone flag; the node remains structurally in the tree. Eager deletion physically removes the node and rebalances immediately.</w:t>
      </w:r>
    </w:p>
    <w:p w14:paraId="290BD67C" w14:textId="77777777" w:rsidR="006D3F43" w:rsidRPr="006D3F43" w:rsidRDefault="006D3F43" w:rsidP="006D3F43">
      <w:pPr>
        <w:pStyle w:val="BodyText"/>
        <w:spacing w:before="16"/>
        <w:rPr>
          <w:sz w:val="16"/>
          <w:szCs w:val="16"/>
        </w:rPr>
      </w:pPr>
      <w:proofErr w:type="spellStart"/>
      <w:r w:rsidRPr="006D3F43">
        <w:rPr>
          <w:sz w:val="16"/>
          <w:szCs w:val="16"/>
        </w:rPr>
        <w:t>DimensionLazy</w:t>
      </w:r>
      <w:proofErr w:type="spellEnd"/>
      <w:r w:rsidRPr="006D3F43">
        <w:rPr>
          <w:sz w:val="16"/>
          <w:szCs w:val="16"/>
        </w:rPr>
        <w:t xml:space="preserve"> </w:t>
      </w:r>
      <w:proofErr w:type="spellStart"/>
      <w:r w:rsidRPr="006D3F43">
        <w:rPr>
          <w:sz w:val="16"/>
          <w:szCs w:val="16"/>
        </w:rPr>
        <w:t>deletionEager</w:t>
      </w:r>
      <w:proofErr w:type="spellEnd"/>
      <w:r w:rsidRPr="006D3F43">
        <w:rPr>
          <w:sz w:val="16"/>
          <w:szCs w:val="16"/>
        </w:rPr>
        <w:t xml:space="preserve"> </w:t>
      </w:r>
      <w:proofErr w:type="spellStart"/>
      <w:r w:rsidRPr="006D3F43">
        <w:rPr>
          <w:sz w:val="16"/>
          <w:szCs w:val="16"/>
        </w:rPr>
        <w:t>deletionDeletion</w:t>
      </w:r>
      <w:proofErr w:type="spellEnd"/>
      <w:r w:rsidRPr="006D3F43">
        <w:rPr>
          <w:sz w:val="16"/>
          <w:szCs w:val="16"/>
        </w:rPr>
        <w:t xml:space="preserve"> </w:t>
      </w:r>
      <w:proofErr w:type="spellStart"/>
      <w:r w:rsidRPr="006D3F43">
        <w:rPr>
          <w:sz w:val="16"/>
          <w:szCs w:val="16"/>
        </w:rPr>
        <w:t>latencyO</w:t>
      </w:r>
      <w:proofErr w:type="spellEnd"/>
      <w:r w:rsidRPr="006D3F43">
        <w:rPr>
          <w:sz w:val="16"/>
          <w:szCs w:val="16"/>
        </w:rPr>
        <w:t xml:space="preserve">(log n) — just flag the </w:t>
      </w:r>
      <w:proofErr w:type="spellStart"/>
      <w:r w:rsidRPr="006D3F43">
        <w:rPr>
          <w:sz w:val="16"/>
          <w:szCs w:val="16"/>
        </w:rPr>
        <w:t>nodeO</w:t>
      </w:r>
      <w:proofErr w:type="spellEnd"/>
      <w:r w:rsidRPr="006D3F43">
        <w:rPr>
          <w:sz w:val="16"/>
          <w:szCs w:val="16"/>
        </w:rPr>
        <w:t xml:space="preserve">(log n) — but involves </w:t>
      </w:r>
      <w:proofErr w:type="spellStart"/>
      <w:r w:rsidRPr="006D3F43">
        <w:rPr>
          <w:sz w:val="16"/>
          <w:szCs w:val="16"/>
        </w:rPr>
        <w:t>rotationsMemory</w:t>
      </w:r>
      <w:proofErr w:type="spellEnd"/>
      <w:r w:rsidRPr="006D3F43">
        <w:rPr>
          <w:sz w:val="16"/>
          <w:szCs w:val="16"/>
        </w:rPr>
        <w:t xml:space="preserve"> </w:t>
      </w:r>
      <w:proofErr w:type="spellStart"/>
      <w:r w:rsidRPr="006D3F43">
        <w:rPr>
          <w:sz w:val="16"/>
          <w:szCs w:val="16"/>
        </w:rPr>
        <w:t>overheadRetains</w:t>
      </w:r>
      <w:proofErr w:type="spellEnd"/>
      <w:r w:rsidRPr="006D3F43">
        <w:rPr>
          <w:sz w:val="16"/>
          <w:szCs w:val="16"/>
        </w:rPr>
        <w:t xml:space="preserve"> deleted nodes; ~3 000 extra nodes </w:t>
      </w:r>
      <w:proofErr w:type="spellStart"/>
      <w:r w:rsidRPr="006D3F43">
        <w:rPr>
          <w:sz w:val="16"/>
          <w:szCs w:val="16"/>
        </w:rPr>
        <w:t>hereFrees</w:t>
      </w:r>
      <w:proofErr w:type="spellEnd"/>
      <w:r w:rsidRPr="006D3F43">
        <w:rPr>
          <w:sz w:val="16"/>
          <w:szCs w:val="16"/>
        </w:rPr>
        <w:t xml:space="preserve"> memory </w:t>
      </w:r>
      <w:proofErr w:type="spellStart"/>
      <w:r w:rsidRPr="006D3F43">
        <w:rPr>
          <w:sz w:val="16"/>
          <w:szCs w:val="16"/>
        </w:rPr>
        <w:t>immediatelyTraversal</w:t>
      </w:r>
      <w:proofErr w:type="spellEnd"/>
      <w:r w:rsidRPr="006D3F43">
        <w:rPr>
          <w:sz w:val="16"/>
          <w:szCs w:val="16"/>
        </w:rPr>
        <w:t xml:space="preserve"> </w:t>
      </w:r>
      <w:proofErr w:type="spellStart"/>
      <w:r w:rsidRPr="006D3F43">
        <w:rPr>
          <w:sz w:val="16"/>
          <w:szCs w:val="16"/>
        </w:rPr>
        <w:t>costMust</w:t>
      </w:r>
      <w:proofErr w:type="spellEnd"/>
      <w:r w:rsidRPr="006D3F43">
        <w:rPr>
          <w:sz w:val="16"/>
          <w:szCs w:val="16"/>
        </w:rPr>
        <w:t xml:space="preserve"> skip tombstones — inflates traversal </w:t>
      </w:r>
      <w:proofErr w:type="spellStart"/>
      <w:r w:rsidRPr="006D3F43">
        <w:rPr>
          <w:sz w:val="16"/>
          <w:szCs w:val="16"/>
        </w:rPr>
        <w:t>workEvery</w:t>
      </w:r>
      <w:proofErr w:type="spellEnd"/>
      <w:r w:rsidRPr="006D3F43">
        <w:rPr>
          <w:sz w:val="16"/>
          <w:szCs w:val="16"/>
        </w:rPr>
        <w:t xml:space="preserve"> visited node is </w:t>
      </w:r>
      <w:proofErr w:type="spellStart"/>
      <w:r w:rsidRPr="006D3F43">
        <w:rPr>
          <w:sz w:val="16"/>
          <w:szCs w:val="16"/>
        </w:rPr>
        <w:t>liveAnalytics</w:t>
      </w:r>
      <w:proofErr w:type="spellEnd"/>
      <w:r w:rsidRPr="006D3F43">
        <w:rPr>
          <w:sz w:val="16"/>
          <w:szCs w:val="16"/>
        </w:rPr>
        <w:t xml:space="preserve"> </w:t>
      </w:r>
      <w:proofErr w:type="spellStart"/>
      <w:r w:rsidRPr="006D3F43">
        <w:rPr>
          <w:sz w:val="16"/>
          <w:szCs w:val="16"/>
        </w:rPr>
        <w:t>utilityTombstoned</w:t>
      </w:r>
      <w:proofErr w:type="spellEnd"/>
      <w:r w:rsidRPr="006D3F43">
        <w:rPr>
          <w:sz w:val="16"/>
          <w:szCs w:val="16"/>
        </w:rPr>
        <w:t xml:space="preserve"> nodes remain </w:t>
      </w:r>
      <w:proofErr w:type="spellStart"/>
      <w:r w:rsidRPr="006D3F43">
        <w:rPr>
          <w:sz w:val="16"/>
          <w:szCs w:val="16"/>
        </w:rPr>
        <w:t>queryable</w:t>
      </w:r>
      <w:proofErr w:type="spellEnd"/>
      <w:r w:rsidRPr="006D3F43">
        <w:rPr>
          <w:sz w:val="16"/>
          <w:szCs w:val="16"/>
        </w:rPr>
        <w:t xml:space="preserve"> ("would have shown")Lost on </w:t>
      </w:r>
      <w:proofErr w:type="spellStart"/>
      <w:r w:rsidRPr="006D3F43">
        <w:rPr>
          <w:sz w:val="16"/>
          <w:szCs w:val="16"/>
        </w:rPr>
        <w:t>deletionCompaction</w:t>
      </w:r>
      <w:proofErr w:type="spellEnd"/>
      <w:r w:rsidRPr="006D3F43">
        <w:rPr>
          <w:sz w:val="16"/>
          <w:szCs w:val="16"/>
        </w:rPr>
        <w:t xml:space="preserve"> </w:t>
      </w:r>
      <w:proofErr w:type="spellStart"/>
      <w:r w:rsidRPr="006D3F43">
        <w:rPr>
          <w:sz w:val="16"/>
          <w:szCs w:val="16"/>
        </w:rPr>
        <w:t>costPeriodic</w:t>
      </w:r>
      <w:proofErr w:type="spellEnd"/>
      <w:r w:rsidRPr="006D3F43">
        <w:rPr>
          <w:sz w:val="16"/>
          <w:szCs w:val="16"/>
        </w:rPr>
        <w:t xml:space="preserve"> O(n) rebuild </w:t>
      </w:r>
      <w:proofErr w:type="spellStart"/>
      <w:r w:rsidRPr="006D3F43">
        <w:rPr>
          <w:sz w:val="16"/>
          <w:szCs w:val="16"/>
        </w:rPr>
        <w:t>requiredNo</w:t>
      </w:r>
      <w:proofErr w:type="spellEnd"/>
      <w:r w:rsidRPr="006D3F43">
        <w:rPr>
          <w:sz w:val="16"/>
          <w:szCs w:val="16"/>
        </w:rPr>
        <w:t xml:space="preserve"> compaction needed</w:t>
      </w:r>
    </w:p>
    <w:p w14:paraId="463015E2" w14:textId="77777777" w:rsidR="006D3F43" w:rsidRPr="006D3F43" w:rsidRDefault="006D3F43" w:rsidP="006D3F43">
      <w:pPr>
        <w:pStyle w:val="BodyText"/>
        <w:spacing w:before="16"/>
        <w:rPr>
          <w:sz w:val="16"/>
          <w:szCs w:val="16"/>
        </w:rPr>
      </w:pPr>
      <w:r w:rsidRPr="006D3F43">
        <w:rPr>
          <w:sz w:val="16"/>
          <w:szCs w:val="16"/>
        </w:rPr>
        <w:t xml:space="preserve">The key tension: lazy deletion trades sustained memory overhead and traversal inflation for near-zero deletion latency and retained analytical visibility. In TikTok's scenario this is the right trade-off — muting a creator is latency-critical (user action), while analytics access to "would-have-shown" posts justifies retaining the </w:t>
      </w:r>
      <w:proofErr w:type="spellStart"/>
      <w:r w:rsidRPr="006D3F43">
        <w:rPr>
          <w:sz w:val="16"/>
          <w:szCs w:val="16"/>
        </w:rPr>
        <w:t>tombstoned</w:t>
      </w:r>
      <w:proofErr w:type="spellEnd"/>
      <w:r w:rsidRPr="006D3F43">
        <w:rPr>
          <w:sz w:val="16"/>
          <w:szCs w:val="16"/>
        </w:rPr>
        <w:t xml:space="preserve"> data.</w:t>
      </w:r>
    </w:p>
    <w:p w14:paraId="30B765AC" w14:textId="77777777" w:rsidR="006D3F43" w:rsidRPr="006D3F43" w:rsidRDefault="006D3F43" w:rsidP="006D3F43">
      <w:pPr>
        <w:pStyle w:val="BodyText"/>
        <w:spacing w:before="16"/>
        <w:rPr>
          <w:sz w:val="16"/>
          <w:szCs w:val="16"/>
        </w:rPr>
      </w:pPr>
      <w:r w:rsidRPr="006D3F43">
        <w:rPr>
          <w:sz w:val="16"/>
          <w:szCs w:val="16"/>
        </w:rPr>
        <w:t>(a)(ii) — kth Rank Query: Worst-Case Latency Multiplier</w:t>
      </w:r>
    </w:p>
    <w:p w14:paraId="06C445CA" w14:textId="77777777" w:rsidR="006D3F43" w:rsidRPr="006D3F43" w:rsidRDefault="006D3F43" w:rsidP="006D3F43">
      <w:pPr>
        <w:pStyle w:val="BodyText"/>
        <w:spacing w:before="16"/>
        <w:rPr>
          <w:sz w:val="16"/>
          <w:szCs w:val="16"/>
        </w:rPr>
      </w:pPr>
      <w:r w:rsidRPr="006D3F43">
        <w:rPr>
          <w:sz w:val="16"/>
          <w:szCs w:val="16"/>
        </w:rPr>
        <w:t xml:space="preserve">A </w:t>
      </w:r>
      <w:proofErr w:type="spellStart"/>
      <w:r w:rsidRPr="006D3F43">
        <w:rPr>
          <w:sz w:val="16"/>
          <w:szCs w:val="16"/>
        </w:rPr>
        <w:t>kthRank</w:t>
      </w:r>
      <w:proofErr w:type="spellEnd"/>
      <w:r w:rsidRPr="006D3F43">
        <w:rPr>
          <w:sz w:val="16"/>
          <w:szCs w:val="16"/>
        </w:rPr>
        <w:t>(k) query on an augmented AVL tree (each node stores subtree size) takes O(log n) on a clean tree by navigating left/right subtree sizes.</w:t>
      </w:r>
    </w:p>
    <w:p w14:paraId="32B602BE" w14:textId="77777777" w:rsidR="006D3F43" w:rsidRPr="006D3F43" w:rsidRDefault="006D3F43" w:rsidP="006D3F43">
      <w:pPr>
        <w:pStyle w:val="BodyText"/>
        <w:spacing w:before="16"/>
        <w:rPr>
          <w:sz w:val="16"/>
          <w:szCs w:val="16"/>
        </w:rPr>
      </w:pPr>
      <w:r w:rsidRPr="006D3F43">
        <w:rPr>
          <w:sz w:val="16"/>
          <w:szCs w:val="16"/>
        </w:rPr>
        <w:t>With tombstones, two problems arise:</w:t>
      </w:r>
    </w:p>
    <w:p w14:paraId="0B93FAE2" w14:textId="77777777" w:rsidR="006D3F43" w:rsidRPr="006D3F43" w:rsidRDefault="006D3F43" w:rsidP="006D3F43">
      <w:pPr>
        <w:pStyle w:val="BodyText"/>
        <w:spacing w:before="16"/>
        <w:rPr>
          <w:sz w:val="16"/>
          <w:szCs w:val="16"/>
        </w:rPr>
      </w:pPr>
      <w:r w:rsidRPr="006D3F43">
        <w:rPr>
          <w:sz w:val="16"/>
          <w:szCs w:val="16"/>
        </w:rPr>
        <w:t xml:space="preserve">Problem 1 — Subtree size counts are polluted. If sizes include </w:t>
      </w:r>
      <w:proofErr w:type="spellStart"/>
      <w:r w:rsidRPr="006D3F43">
        <w:rPr>
          <w:sz w:val="16"/>
          <w:szCs w:val="16"/>
        </w:rPr>
        <w:t>tombstoned</w:t>
      </w:r>
      <w:proofErr w:type="spellEnd"/>
      <w:r w:rsidRPr="006D3F43">
        <w:rPr>
          <w:sz w:val="16"/>
          <w:szCs w:val="16"/>
        </w:rPr>
        <w:t xml:space="preserve"> nodes, the rank arithmetic is wrong. The fix is either (a) maintain a live-node count per subtree (expensive to update), or (b) accept that </w:t>
      </w:r>
      <w:proofErr w:type="spellStart"/>
      <w:r w:rsidRPr="006D3F43">
        <w:rPr>
          <w:sz w:val="16"/>
          <w:szCs w:val="16"/>
        </w:rPr>
        <w:t>kthRank</w:t>
      </w:r>
      <w:proofErr w:type="spellEnd"/>
      <w:r w:rsidRPr="006D3F43">
        <w:rPr>
          <w:sz w:val="16"/>
          <w:szCs w:val="16"/>
        </w:rPr>
        <w:t xml:space="preserve"> must skip tombstones dynamically.</w:t>
      </w:r>
    </w:p>
    <w:p w14:paraId="470C6AFF" w14:textId="77777777" w:rsidR="006D3F43" w:rsidRPr="006D3F43" w:rsidRDefault="006D3F43" w:rsidP="006D3F43">
      <w:pPr>
        <w:pStyle w:val="BodyText"/>
        <w:spacing w:before="16"/>
        <w:rPr>
          <w:sz w:val="16"/>
          <w:szCs w:val="16"/>
        </w:rPr>
      </w:pPr>
      <w:r w:rsidRPr="006D3F43">
        <w:rPr>
          <w:sz w:val="16"/>
          <w:szCs w:val="16"/>
        </w:rPr>
        <w:t xml:space="preserve">Problem 2 — Dynamic skipping degrades to O(n) in the worst case. If tombstones cluster (e.g., all tombstones are in the top percentile of scores), seeking the kth live node may require visiting many </w:t>
      </w:r>
      <w:proofErr w:type="spellStart"/>
      <w:r w:rsidRPr="006D3F43">
        <w:rPr>
          <w:sz w:val="16"/>
          <w:szCs w:val="16"/>
        </w:rPr>
        <w:t>tombstoned</w:t>
      </w:r>
      <w:proofErr w:type="spellEnd"/>
      <w:r w:rsidRPr="006D3F43">
        <w:rPr>
          <w:sz w:val="16"/>
          <w:szCs w:val="16"/>
        </w:rPr>
        <w:t xml:space="preserve"> nodes consecutively.</w:t>
      </w:r>
    </w:p>
    <w:p w14:paraId="427189A2" w14:textId="77777777" w:rsidR="006D3F43" w:rsidRPr="006D3F43" w:rsidRDefault="006D3F43" w:rsidP="006D3F43">
      <w:pPr>
        <w:pStyle w:val="BodyText"/>
        <w:spacing w:before="16"/>
        <w:rPr>
          <w:sz w:val="16"/>
          <w:szCs w:val="16"/>
        </w:rPr>
      </w:pPr>
      <w:r w:rsidRPr="006D3F43">
        <w:rPr>
          <w:sz w:val="16"/>
          <w:szCs w:val="16"/>
        </w:rPr>
        <w:t>Worst-case latency multiplier calculation:</w:t>
      </w:r>
    </w:p>
    <w:p w14:paraId="30B5D191" w14:textId="77777777" w:rsidR="006D3F43" w:rsidRPr="006D3F43" w:rsidRDefault="006D3F43" w:rsidP="006D3F43">
      <w:pPr>
        <w:pStyle w:val="BodyText"/>
        <w:spacing w:before="16"/>
        <w:rPr>
          <w:sz w:val="16"/>
          <w:szCs w:val="16"/>
        </w:rPr>
      </w:pPr>
      <w:r w:rsidRPr="006D3F43">
        <w:rPr>
          <w:sz w:val="16"/>
          <w:szCs w:val="16"/>
        </w:rPr>
        <w:t xml:space="preserve">Total nodes N = 53 000 (50 000 active + 3 000 </w:t>
      </w:r>
      <w:proofErr w:type="spellStart"/>
      <w:r w:rsidRPr="006D3F43">
        <w:rPr>
          <w:sz w:val="16"/>
          <w:szCs w:val="16"/>
        </w:rPr>
        <w:t>tombstoned</w:t>
      </w:r>
      <w:proofErr w:type="spellEnd"/>
      <w:r w:rsidRPr="006D3F43">
        <w:rPr>
          <w:sz w:val="16"/>
          <w:szCs w:val="16"/>
        </w:rPr>
        <w:t>)</w:t>
      </w:r>
    </w:p>
    <w:p w14:paraId="4A35700E" w14:textId="77777777" w:rsidR="006D3F43" w:rsidRPr="006D3F43" w:rsidRDefault="006D3F43" w:rsidP="006D3F43">
      <w:pPr>
        <w:pStyle w:val="BodyText"/>
        <w:spacing w:before="16"/>
        <w:rPr>
          <w:sz w:val="16"/>
          <w:szCs w:val="16"/>
        </w:rPr>
      </w:pPr>
      <w:r w:rsidRPr="006D3F43">
        <w:rPr>
          <w:sz w:val="16"/>
          <w:szCs w:val="16"/>
        </w:rPr>
        <w:t>Tombstone fraction f = 3 000 / 53 000 ≈ 5.66%</w:t>
      </w:r>
    </w:p>
    <w:p w14:paraId="7F18B4C1" w14:textId="77777777" w:rsidR="006D3F43" w:rsidRPr="006D3F43" w:rsidRDefault="006D3F43" w:rsidP="006D3F43">
      <w:pPr>
        <w:pStyle w:val="BodyText"/>
        <w:spacing w:before="16"/>
        <w:rPr>
          <w:sz w:val="16"/>
          <w:szCs w:val="16"/>
        </w:rPr>
      </w:pPr>
      <w:r w:rsidRPr="006D3F43">
        <w:rPr>
          <w:sz w:val="16"/>
          <w:szCs w:val="16"/>
        </w:rPr>
        <w:t>In the worst case, all tombstones are clustered along the search path.</w:t>
      </w:r>
    </w:p>
    <w:p w14:paraId="71DB50FD" w14:textId="77777777" w:rsidR="006D3F43" w:rsidRPr="006D3F43" w:rsidRDefault="006D3F43" w:rsidP="006D3F43">
      <w:pPr>
        <w:pStyle w:val="BodyText"/>
        <w:spacing w:before="16"/>
        <w:rPr>
          <w:sz w:val="16"/>
          <w:szCs w:val="16"/>
        </w:rPr>
      </w:pPr>
      <w:r w:rsidRPr="006D3F43">
        <w:rPr>
          <w:sz w:val="16"/>
          <w:szCs w:val="16"/>
        </w:rPr>
        <w:t xml:space="preserve">A clean tree visits O(log₂ 50 000) ≈ 15.6 nodes for </w:t>
      </w:r>
      <w:proofErr w:type="spellStart"/>
      <w:r w:rsidRPr="006D3F43">
        <w:rPr>
          <w:sz w:val="16"/>
          <w:szCs w:val="16"/>
        </w:rPr>
        <w:t>kthRank</w:t>
      </w:r>
      <w:proofErr w:type="spellEnd"/>
      <w:r w:rsidRPr="006D3F43">
        <w:rPr>
          <w:sz w:val="16"/>
          <w:szCs w:val="16"/>
        </w:rPr>
        <w:t>.</w:t>
      </w:r>
    </w:p>
    <w:p w14:paraId="05BEE3F0" w14:textId="77777777" w:rsidR="006D3F43" w:rsidRPr="006D3F43" w:rsidRDefault="006D3F43" w:rsidP="006D3F43">
      <w:pPr>
        <w:pStyle w:val="BodyText"/>
        <w:spacing w:before="16"/>
        <w:rPr>
          <w:sz w:val="16"/>
          <w:szCs w:val="16"/>
        </w:rPr>
      </w:pPr>
      <w:r w:rsidRPr="006D3F43">
        <w:rPr>
          <w:sz w:val="16"/>
          <w:szCs w:val="16"/>
        </w:rPr>
        <w:t>A tombstone-polluted tree may visit up to O(log₂ 53 000) ≈ 15.7 nodes on the primary path, but each "skip tombstone, re-navigate" step can cost an additional O(log N) traversal.</w:t>
      </w:r>
    </w:p>
    <w:p w14:paraId="073B2291" w14:textId="77777777" w:rsidR="006D3F43" w:rsidRPr="006D3F43" w:rsidRDefault="006D3F43" w:rsidP="006D3F43">
      <w:pPr>
        <w:pStyle w:val="BodyText"/>
        <w:spacing w:before="16"/>
        <w:rPr>
          <w:sz w:val="16"/>
          <w:szCs w:val="16"/>
        </w:rPr>
      </w:pPr>
      <w:r w:rsidRPr="006D3F43">
        <w:rPr>
          <w:sz w:val="16"/>
          <w:szCs w:val="16"/>
        </w:rPr>
        <w:t>Worst-case total node visits: if k tombstones land consecutively on the path, the query degrades toward O(</w:t>
      </w:r>
      <w:proofErr w:type="spellStart"/>
      <w:r w:rsidRPr="006D3F43">
        <w:rPr>
          <w:sz w:val="16"/>
          <w:szCs w:val="16"/>
        </w:rPr>
        <w:t>k_tombstone</w:t>
      </w:r>
      <w:proofErr w:type="spellEnd"/>
      <w:r w:rsidRPr="006D3F43">
        <w:rPr>
          <w:sz w:val="16"/>
          <w:szCs w:val="16"/>
        </w:rPr>
        <w:t xml:space="preserve"> × log N).</w:t>
      </w:r>
    </w:p>
    <w:p w14:paraId="463F740A" w14:textId="77777777" w:rsidR="006D3F43" w:rsidRPr="006D3F43" w:rsidRDefault="006D3F43" w:rsidP="006D3F43">
      <w:pPr>
        <w:pStyle w:val="BodyText"/>
        <w:spacing w:before="16"/>
        <w:rPr>
          <w:sz w:val="16"/>
          <w:szCs w:val="16"/>
        </w:rPr>
      </w:pPr>
      <w:r w:rsidRPr="006D3F43">
        <w:rPr>
          <w:sz w:val="16"/>
          <w:szCs w:val="16"/>
        </w:rPr>
        <w:t>With 3 000 tombstones uniformly distributed, expected additional visits per query ≈ (3 000 / 53 000) × log₂(53 000) ≈ 0.057 × 15.7 ≈ ~0.9 extra nodes on average — negligible.</w:t>
      </w:r>
    </w:p>
    <w:p w14:paraId="0B53765C" w14:textId="77777777" w:rsidR="006D3F43" w:rsidRPr="006D3F43" w:rsidRDefault="006D3F43" w:rsidP="006D3F43">
      <w:pPr>
        <w:pStyle w:val="BodyText"/>
        <w:spacing w:before="16"/>
        <w:rPr>
          <w:sz w:val="16"/>
          <w:szCs w:val="16"/>
        </w:rPr>
      </w:pPr>
      <w:r w:rsidRPr="006D3F43">
        <w:rPr>
          <w:sz w:val="16"/>
          <w:szCs w:val="16"/>
        </w:rPr>
        <w:t>Worst-case multiplier (all tombstones on the search path, adversarial clustering):</w:t>
      </w:r>
    </w:p>
    <w:p w14:paraId="1BF05FEC" w14:textId="77777777" w:rsidR="006D3F43" w:rsidRPr="006D3F43" w:rsidRDefault="006D3F43" w:rsidP="006D3F43">
      <w:pPr>
        <w:pStyle w:val="BodyText"/>
        <w:spacing w:before="16"/>
        <w:rPr>
          <w:sz w:val="16"/>
          <w:szCs w:val="16"/>
        </w:rPr>
      </w:pPr>
      <w:r w:rsidRPr="006D3F43">
        <w:rPr>
          <w:sz w:val="16"/>
          <w:szCs w:val="16"/>
        </w:rPr>
        <w:t>Multiplier=log⁡2(53,000)+Tskippedlog⁡2(50,000)≈15.7+3,000</w:t>
      </w:r>
      <w:r w:rsidRPr="006D3F43">
        <w:rPr>
          <w:rFonts w:ascii="Cambria Math" w:hAnsi="Cambria Math" w:cs="Cambria Math"/>
          <w:sz w:val="16"/>
          <w:szCs w:val="16"/>
        </w:rPr>
        <w:t>⋅</w:t>
      </w:r>
      <w:r w:rsidRPr="006D3F43">
        <w:rPr>
          <w:sz w:val="16"/>
          <w:szCs w:val="16"/>
        </w:rPr>
        <w:t>p15.6\text{Multiplier} = \frac{\log_2(53{,}000) + T_{\text{skipped}}}{\log_2(50{,}000)} \</w:t>
      </w:r>
      <w:proofErr w:type="spellStart"/>
      <w:r w:rsidRPr="006D3F43">
        <w:rPr>
          <w:sz w:val="16"/>
          <w:szCs w:val="16"/>
        </w:rPr>
        <w:t>approx</w:t>
      </w:r>
      <w:proofErr w:type="spellEnd"/>
      <w:r w:rsidRPr="006D3F43">
        <w:rPr>
          <w:sz w:val="16"/>
          <w:szCs w:val="16"/>
        </w:rPr>
        <w:t xml:space="preserve"> \frac{15.7 + 3{,}000 \</w:t>
      </w:r>
      <w:proofErr w:type="spellStart"/>
      <w:r w:rsidRPr="006D3F43">
        <w:rPr>
          <w:sz w:val="16"/>
          <w:szCs w:val="16"/>
        </w:rPr>
        <w:t>cdot</w:t>
      </w:r>
      <w:proofErr w:type="spellEnd"/>
      <w:r w:rsidRPr="006D3F43">
        <w:rPr>
          <w:sz w:val="16"/>
          <w:szCs w:val="16"/>
        </w:rPr>
        <w:t xml:space="preserve"> p}{15.6}Multiplier=log2​(50,000)log2​(53,000)+Tskipped​​≈15.615.7+3,000</w:t>
      </w:r>
      <w:r w:rsidRPr="006D3F43">
        <w:rPr>
          <w:rFonts w:ascii="Cambria Math" w:hAnsi="Cambria Math" w:cs="Cambria Math"/>
          <w:sz w:val="16"/>
          <w:szCs w:val="16"/>
        </w:rPr>
        <w:t>⋅</w:t>
      </w:r>
      <w:r w:rsidRPr="006D3F43">
        <w:rPr>
          <w:sz w:val="16"/>
          <w:szCs w:val="16"/>
        </w:rPr>
        <w:t>p​</w:t>
      </w:r>
    </w:p>
    <w:p w14:paraId="6F9C928F" w14:textId="77777777" w:rsidR="006D3F43" w:rsidRPr="006D3F43" w:rsidRDefault="006D3F43" w:rsidP="006D3F43">
      <w:pPr>
        <w:pStyle w:val="BodyText"/>
        <w:spacing w:before="16"/>
        <w:rPr>
          <w:sz w:val="16"/>
          <w:szCs w:val="16"/>
        </w:rPr>
      </w:pPr>
      <w:r w:rsidRPr="006D3F43">
        <w:rPr>
          <w:sz w:val="16"/>
          <w:szCs w:val="16"/>
        </w:rPr>
        <w:t>Where p = probability a tombstone falls on the exact search path ≈ log(N)/N ≈ 15.7/53000 ≈ 0.000296. Expected extra skips ≈ 3000 × 0.000296 ≈ ~0.9, giving a multiplier of ≈ 1.06× under uniform distribution.</w:t>
      </w:r>
    </w:p>
    <w:p w14:paraId="64AF7022" w14:textId="77777777" w:rsidR="006D3F43" w:rsidRPr="006D3F43" w:rsidRDefault="006D3F43" w:rsidP="006D3F43">
      <w:pPr>
        <w:pStyle w:val="BodyText"/>
        <w:spacing w:before="16"/>
        <w:rPr>
          <w:sz w:val="16"/>
          <w:szCs w:val="16"/>
        </w:rPr>
      </w:pPr>
      <w:r w:rsidRPr="006D3F43">
        <w:rPr>
          <w:sz w:val="16"/>
          <w:szCs w:val="16"/>
        </w:rPr>
        <w:t xml:space="preserve">Under adversarial clustering (all tombstones in one subtree that </w:t>
      </w:r>
      <w:proofErr w:type="spellStart"/>
      <w:r w:rsidRPr="006D3F43">
        <w:rPr>
          <w:sz w:val="16"/>
          <w:szCs w:val="16"/>
        </w:rPr>
        <w:t>kthRank</w:t>
      </w:r>
      <w:proofErr w:type="spellEnd"/>
      <w:r w:rsidRPr="006D3F43">
        <w:rPr>
          <w:sz w:val="16"/>
          <w:szCs w:val="16"/>
        </w:rPr>
        <w:t xml:space="preserve"> must traverse): worst-case the query visits up to 53 000 / 50 000 × log(53 000) / log(50 000) ≈ 1.06× the path length, but if the rank requested falls exactly into the tombstone-dense zone, the effective multiplier can reach:</w:t>
      </w:r>
    </w:p>
    <w:p w14:paraId="396DAFAE" w14:textId="77777777" w:rsidR="006D3F43" w:rsidRPr="006D3F43" w:rsidRDefault="006D3F43" w:rsidP="006D3F43">
      <w:pPr>
        <w:pStyle w:val="BodyText"/>
        <w:spacing w:before="16"/>
        <w:rPr>
          <w:sz w:val="16"/>
          <w:szCs w:val="16"/>
        </w:rPr>
      </w:pPr>
      <w:r w:rsidRPr="006D3F43">
        <w:rPr>
          <w:sz w:val="16"/>
          <w:szCs w:val="16"/>
        </w:rPr>
        <w:t>Multiplierworst=NtotalNactive=53,00050,000≈1.06×\text{Multiplier}_{\text{worst}} = \frac{N_{\text{total}}}{N_{\text{active}}} = \frac{53{,}000}{50{,}000} \</w:t>
      </w:r>
      <w:proofErr w:type="spellStart"/>
      <w:r w:rsidRPr="006D3F43">
        <w:rPr>
          <w:sz w:val="16"/>
          <w:szCs w:val="16"/>
        </w:rPr>
        <w:t>approx</w:t>
      </w:r>
      <w:proofErr w:type="spellEnd"/>
      <w:r w:rsidRPr="006D3F43">
        <w:rPr>
          <w:sz w:val="16"/>
          <w:szCs w:val="16"/>
        </w:rPr>
        <w:t xml:space="preserve"> \boxed{1.06\times}Multiplierworst​=Nactive​Ntotal​​=50,00053,000​≈1.06×​</w:t>
      </w:r>
    </w:p>
    <w:p w14:paraId="3FF96C32" w14:textId="77777777" w:rsidR="006D3F43" w:rsidRPr="006D3F43" w:rsidRDefault="006D3F43" w:rsidP="006D3F43">
      <w:pPr>
        <w:pStyle w:val="BodyText"/>
        <w:spacing w:before="16"/>
        <w:rPr>
          <w:sz w:val="16"/>
          <w:szCs w:val="16"/>
        </w:rPr>
      </w:pPr>
      <w:r w:rsidRPr="006D3F43">
        <w:rPr>
          <w:sz w:val="16"/>
          <w:szCs w:val="16"/>
        </w:rPr>
        <w:t>At 6% tombstone density, this is acceptable. The multiplier scales linearly with tombstone fraction — at 20% it becomes 1.25×, and at 50% it reaches 2×, which would be operationally unacceptable.</w:t>
      </w:r>
    </w:p>
    <w:p w14:paraId="6813130E" w14:textId="77777777" w:rsidR="006D3F43" w:rsidRPr="006D3F43" w:rsidRDefault="006D3F43" w:rsidP="006D3F43">
      <w:pPr>
        <w:pStyle w:val="BodyText"/>
        <w:spacing w:before="16"/>
        <w:rPr>
          <w:sz w:val="16"/>
          <w:szCs w:val="16"/>
        </w:rPr>
      </w:pPr>
      <w:r w:rsidRPr="006D3F43">
        <w:rPr>
          <w:sz w:val="16"/>
          <w:szCs w:val="16"/>
        </w:rPr>
        <w:t>(a)(iii) — Compaction Trigger Rule</w:t>
      </w:r>
    </w:p>
    <w:p w14:paraId="3ECEDE1F" w14:textId="77777777" w:rsidR="006D3F43" w:rsidRPr="006D3F43" w:rsidRDefault="006D3F43" w:rsidP="006D3F43">
      <w:pPr>
        <w:pStyle w:val="BodyText"/>
        <w:spacing w:before="16"/>
        <w:rPr>
          <w:sz w:val="16"/>
          <w:szCs w:val="16"/>
        </w:rPr>
      </w:pPr>
      <w:r w:rsidRPr="006D3F43">
        <w:rPr>
          <w:sz w:val="16"/>
          <w:szCs w:val="16"/>
        </w:rPr>
        <w:t>Rule of thumb: Trigger compaction when the tombstone fraction exceeds 10–15% of total nodes.</w:t>
      </w:r>
    </w:p>
    <w:p w14:paraId="212C2388" w14:textId="77777777" w:rsidR="006D3F43" w:rsidRPr="006D3F43" w:rsidRDefault="006D3F43" w:rsidP="006D3F43">
      <w:pPr>
        <w:pStyle w:val="BodyText"/>
        <w:spacing w:before="16"/>
        <w:rPr>
          <w:sz w:val="16"/>
          <w:szCs w:val="16"/>
        </w:rPr>
      </w:pPr>
      <w:r w:rsidRPr="006D3F43">
        <w:rPr>
          <w:sz w:val="16"/>
          <w:szCs w:val="16"/>
        </w:rPr>
        <w:t>Reasoning:</w:t>
      </w:r>
    </w:p>
    <w:p w14:paraId="1D813096" w14:textId="77777777" w:rsidR="006D3F43" w:rsidRPr="006D3F43" w:rsidRDefault="006D3F43" w:rsidP="006D3F43">
      <w:pPr>
        <w:pStyle w:val="BodyText"/>
        <w:spacing w:before="16"/>
        <w:rPr>
          <w:sz w:val="16"/>
          <w:szCs w:val="16"/>
        </w:rPr>
      </w:pPr>
      <w:r w:rsidRPr="006D3F43">
        <w:rPr>
          <w:sz w:val="16"/>
          <w:szCs w:val="16"/>
        </w:rPr>
        <w:t>At ≤6% (current state): traversal multiplier ~1.06× — negligible performance impact.</w:t>
      </w:r>
    </w:p>
    <w:p w14:paraId="0031B0DB" w14:textId="77777777" w:rsidR="006D3F43" w:rsidRPr="006D3F43" w:rsidRDefault="006D3F43" w:rsidP="006D3F43">
      <w:pPr>
        <w:pStyle w:val="BodyText"/>
        <w:spacing w:before="16"/>
        <w:rPr>
          <w:sz w:val="16"/>
          <w:szCs w:val="16"/>
        </w:rPr>
      </w:pPr>
      <w:r w:rsidRPr="006D3F43">
        <w:rPr>
          <w:sz w:val="16"/>
          <w:szCs w:val="16"/>
        </w:rPr>
        <w:t xml:space="preserve">At 10%: multiplier ~1.11×, </w:t>
      </w:r>
      <w:proofErr w:type="spellStart"/>
      <w:r w:rsidRPr="006D3F43">
        <w:rPr>
          <w:sz w:val="16"/>
          <w:szCs w:val="16"/>
        </w:rPr>
        <w:t>kthRank</w:t>
      </w:r>
      <w:proofErr w:type="spellEnd"/>
      <w:r w:rsidRPr="006D3F43">
        <w:rPr>
          <w:sz w:val="16"/>
          <w:szCs w:val="16"/>
        </w:rPr>
        <w:t xml:space="preserve"> still fast, memory overhead ~5 500 extra nodes — borderline acceptable.</w:t>
      </w:r>
    </w:p>
    <w:p w14:paraId="0D5A642E" w14:textId="77777777" w:rsidR="006D3F43" w:rsidRPr="006D3F43" w:rsidRDefault="006D3F43" w:rsidP="006D3F43">
      <w:pPr>
        <w:pStyle w:val="BodyText"/>
        <w:spacing w:before="16"/>
        <w:rPr>
          <w:sz w:val="16"/>
          <w:szCs w:val="16"/>
        </w:rPr>
      </w:pPr>
      <w:r w:rsidRPr="006D3F43">
        <w:rPr>
          <w:sz w:val="16"/>
          <w:szCs w:val="16"/>
        </w:rPr>
        <w:t>At 15%: multiplier ~1.18×, memory bloat becomes significant, and subtree-size-based rank queries begin to show measurable skew.</w:t>
      </w:r>
    </w:p>
    <w:p w14:paraId="5FC1E90A" w14:textId="77777777" w:rsidR="006D3F43" w:rsidRPr="006D3F43" w:rsidRDefault="006D3F43" w:rsidP="006D3F43">
      <w:pPr>
        <w:pStyle w:val="BodyText"/>
        <w:spacing w:before="16"/>
        <w:rPr>
          <w:sz w:val="16"/>
          <w:szCs w:val="16"/>
        </w:rPr>
      </w:pPr>
      <w:r w:rsidRPr="006D3F43">
        <w:rPr>
          <w:sz w:val="16"/>
          <w:szCs w:val="16"/>
        </w:rPr>
        <w:t>At &gt;20%: multiplier exceeds 1.25×, p99 latency for feed generation degrades visibly; compaction is overdue.</w:t>
      </w:r>
    </w:p>
    <w:p w14:paraId="42E03E60" w14:textId="77777777" w:rsidR="006D3F43" w:rsidRPr="006D3F43" w:rsidRDefault="006D3F43" w:rsidP="006D3F43">
      <w:pPr>
        <w:pStyle w:val="BodyText"/>
        <w:spacing w:before="16"/>
        <w:rPr>
          <w:sz w:val="16"/>
          <w:szCs w:val="16"/>
        </w:rPr>
      </w:pPr>
      <w:r w:rsidRPr="006D3F43">
        <w:rPr>
          <w:sz w:val="16"/>
          <w:szCs w:val="16"/>
        </w:rPr>
        <w:t>Recommended compaction policy (two-tier):</w:t>
      </w:r>
    </w:p>
    <w:p w14:paraId="4F44C9BD" w14:textId="77777777" w:rsidR="006D3F43" w:rsidRPr="006D3F43" w:rsidRDefault="006D3F43" w:rsidP="006D3F43">
      <w:pPr>
        <w:pStyle w:val="BodyText"/>
        <w:spacing w:before="16"/>
        <w:rPr>
          <w:sz w:val="16"/>
          <w:szCs w:val="16"/>
        </w:rPr>
      </w:pPr>
      <w:r w:rsidRPr="006D3F43">
        <w:rPr>
          <w:sz w:val="16"/>
          <w:szCs w:val="16"/>
        </w:rPr>
        <w:t xml:space="preserve">Threshold trigger: compact when tombstones / </w:t>
      </w:r>
      <w:proofErr w:type="spellStart"/>
      <w:r w:rsidRPr="006D3F43">
        <w:rPr>
          <w:sz w:val="16"/>
          <w:szCs w:val="16"/>
        </w:rPr>
        <w:t>total_nodes</w:t>
      </w:r>
      <w:proofErr w:type="spellEnd"/>
      <w:r w:rsidRPr="006D3F43">
        <w:rPr>
          <w:sz w:val="16"/>
          <w:szCs w:val="16"/>
        </w:rPr>
        <w:t xml:space="preserve"> &gt; 0.10 (i.e., ~5 500 tombstones in this deployment).</w:t>
      </w:r>
    </w:p>
    <w:p w14:paraId="1CFC486E" w14:textId="77777777" w:rsidR="006D3F43" w:rsidRPr="006D3F43" w:rsidRDefault="006D3F43" w:rsidP="006D3F43">
      <w:pPr>
        <w:pStyle w:val="BodyText"/>
        <w:spacing w:before="16"/>
        <w:rPr>
          <w:sz w:val="16"/>
          <w:szCs w:val="16"/>
        </w:rPr>
      </w:pPr>
      <w:r w:rsidRPr="006D3F43">
        <w:rPr>
          <w:sz w:val="16"/>
          <w:szCs w:val="16"/>
        </w:rPr>
        <w:t>Time-based fallback: compact every 24 hours regardless, to serve analytics snapshots and prevent slow accumulation under low-write periods.</w:t>
      </w:r>
    </w:p>
    <w:p w14:paraId="070D7CEC" w14:textId="77777777" w:rsidR="006D3F43" w:rsidRPr="006D3F43" w:rsidRDefault="006D3F43" w:rsidP="006D3F43">
      <w:pPr>
        <w:pStyle w:val="BodyText"/>
        <w:spacing w:before="16"/>
        <w:rPr>
          <w:sz w:val="16"/>
          <w:szCs w:val="16"/>
        </w:rPr>
      </w:pPr>
      <w:r w:rsidRPr="006D3F43">
        <w:rPr>
          <w:sz w:val="16"/>
          <w:szCs w:val="16"/>
        </w:rPr>
        <w:t xml:space="preserve">Compaction performs an in-order traversal, collecting only live nodes, then rebuilding a perfectly balanced AVL tree in O(n) time — far cheaper than </w:t>
      </w:r>
      <w:proofErr w:type="spellStart"/>
      <w:r w:rsidRPr="006D3F43">
        <w:rPr>
          <w:sz w:val="16"/>
          <w:szCs w:val="16"/>
        </w:rPr>
        <w:t>n</w:t>
      </w:r>
      <w:proofErr w:type="spellEnd"/>
      <w:r w:rsidRPr="006D3F43">
        <w:rPr>
          <w:sz w:val="16"/>
          <w:szCs w:val="16"/>
        </w:rPr>
        <w:t xml:space="preserve"> individual eager deletions. During compaction, the old tree can serve read queries (dual-tree swap pattern), making this zero-downtime for TikTok's feed pipeline.</w:t>
      </w:r>
    </w:p>
    <w:p w14:paraId="422C199C" w14:textId="2B7E1126" w:rsidR="002C5E69" w:rsidRPr="006D3F43" w:rsidRDefault="006D3F43" w:rsidP="006D3F43">
      <w:pPr>
        <w:pStyle w:val="BodyText"/>
        <w:spacing w:before="16"/>
        <w:rPr>
          <w:sz w:val="16"/>
          <w:szCs w:val="16"/>
        </w:rPr>
      </w:pPr>
      <w:r w:rsidRPr="006D3F43">
        <w:rPr>
          <w:sz w:val="16"/>
          <w:szCs w:val="16"/>
        </w:rPr>
        <w:lastRenderedPageBreak/>
        <w:t>At the current 6% rate, compaction is not yet urgent — the tree is operating well within the safe zone, but a monitoring alert should be set at 10%.</w:t>
      </w:r>
    </w:p>
    <w:p w14:paraId="30DF6025" w14:textId="77777777" w:rsidR="002C5E69" w:rsidRDefault="00000000">
      <w:pPr>
        <w:ind w:left="724"/>
        <w:rPr>
          <w:b/>
          <w:sz w:val="20"/>
        </w:rPr>
      </w:pPr>
      <w:r>
        <w:rPr>
          <w:b/>
          <w:color w:val="0A0A0A"/>
          <w:sz w:val="20"/>
        </w:rPr>
        <w:t>GitHub</w:t>
      </w:r>
      <w:r>
        <w:rPr>
          <w:b/>
          <w:color w:val="0A0A0A"/>
          <w:spacing w:val="-12"/>
          <w:sz w:val="20"/>
        </w:rPr>
        <w:t xml:space="preserve"> </w:t>
      </w:r>
      <w:r>
        <w:rPr>
          <w:b/>
          <w:color w:val="0A0A0A"/>
          <w:spacing w:val="-2"/>
          <w:sz w:val="20"/>
        </w:rPr>
        <w:t>Link:</w:t>
      </w:r>
    </w:p>
    <w:sectPr w:rsidR="002C5E69">
      <w:footerReference w:type="default" r:id="rId8"/>
      <w:type w:val="continuous"/>
      <w:pgSz w:w="12240" w:h="15840"/>
      <w:pgMar w:top="720" w:right="0" w:bottom="1300" w:left="1080" w:header="0" w:footer="11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13FA" w14:textId="77777777" w:rsidR="000D61D4" w:rsidRDefault="000D61D4">
      <w:r>
        <w:separator/>
      </w:r>
    </w:p>
  </w:endnote>
  <w:endnote w:type="continuationSeparator" w:id="0">
    <w:p w14:paraId="7B027F5C" w14:textId="77777777" w:rsidR="000D61D4" w:rsidRDefault="000D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E9B7" w14:textId="77777777" w:rsidR="002C5E69" w:rsidRDefault="00000000">
    <w:pPr>
      <w:pStyle w:val="BodyText"/>
      <w:spacing w:line="14" w:lineRule="auto"/>
    </w:pPr>
    <w:r>
      <w:rPr>
        <w:noProof/>
      </w:rPr>
      <mc:AlternateContent>
        <mc:Choice Requires="wps">
          <w:drawing>
            <wp:anchor distT="0" distB="0" distL="0" distR="0" simplePos="0" relativeHeight="251659264" behindDoc="0" locked="0" layoutInCell="1" allowOverlap="1" wp14:anchorId="03D13077" wp14:editId="0B3CF5F0">
              <wp:simplePos x="0" y="0"/>
              <wp:positionH relativeFrom="page">
                <wp:posOffset>1031240</wp:posOffset>
              </wp:positionH>
              <wp:positionV relativeFrom="page">
                <wp:posOffset>9218295</wp:posOffset>
              </wp:positionV>
              <wp:extent cx="6244590" cy="676275"/>
              <wp:effectExtent l="0" t="0" r="0" b="0"/>
              <wp:wrapNone/>
              <wp:docPr id="1" name="Textbox 1"/>
              <wp:cNvGraphicFramePr/>
              <a:graphic xmlns:a="http://schemas.openxmlformats.org/drawingml/2006/main">
                <a:graphicData uri="http://schemas.microsoft.com/office/word/2010/wordprocessingShape">
                  <wps:wsp>
                    <wps:cNvSpPr txBox="1"/>
                    <wps:spPr>
                      <a:xfrm>
                        <a:off x="0" y="0"/>
                        <a:ext cx="6244590" cy="676275"/>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2C5E69" w14:paraId="14EC711A" w14:textId="77777777">
                            <w:trPr>
                              <w:trHeight w:val="258"/>
                            </w:trPr>
                            <w:tc>
                              <w:tcPr>
                                <w:tcW w:w="4849" w:type="dxa"/>
                                <w:tcBorders>
                                  <w:left w:val="single" w:sz="6" w:space="0" w:color="000000"/>
                                </w:tcBorders>
                              </w:tcPr>
                              <w:p w14:paraId="14B17509" w14:textId="77777777" w:rsidR="002C5E69" w:rsidRDefault="00000000">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76E39C34" w14:textId="77777777" w:rsidR="002C5E69" w:rsidRDefault="00000000">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2C5E69" w14:paraId="2B0BA8BD" w14:textId="77777777">
                            <w:trPr>
                              <w:trHeight w:val="777"/>
                            </w:trPr>
                            <w:tc>
                              <w:tcPr>
                                <w:tcW w:w="4849" w:type="dxa"/>
                                <w:tcBorders>
                                  <w:left w:val="single" w:sz="6" w:space="0" w:color="000000"/>
                                </w:tcBorders>
                              </w:tcPr>
                              <w:p w14:paraId="4DBBAFD0" w14:textId="77777777" w:rsidR="002C5E69" w:rsidRDefault="002C5E69">
                                <w:pPr>
                                  <w:pStyle w:val="TableParagraph"/>
                                  <w:rPr>
                                    <w:sz w:val="20"/>
                                  </w:rPr>
                                </w:pPr>
                              </w:p>
                            </w:tc>
                            <w:tc>
                              <w:tcPr>
                                <w:tcW w:w="4853" w:type="dxa"/>
                              </w:tcPr>
                              <w:p w14:paraId="34548F56" w14:textId="77777777" w:rsidR="002C5E69" w:rsidRDefault="002C5E69">
                                <w:pPr>
                                  <w:pStyle w:val="TableParagraph"/>
                                  <w:rPr>
                                    <w:sz w:val="20"/>
                                  </w:rPr>
                                </w:pPr>
                              </w:p>
                            </w:tc>
                          </w:tr>
                        </w:tbl>
                        <w:p w14:paraId="795533F9" w14:textId="77777777" w:rsidR="002C5E69" w:rsidRDefault="002C5E69">
                          <w:pPr>
                            <w:pStyle w:val="BodyText"/>
                          </w:pPr>
                        </w:p>
                      </w:txbxContent>
                    </wps:txbx>
                    <wps:bodyPr wrap="square" lIns="0" tIns="0" rIns="0" bIns="0" rtlCol="0">
                      <a:noAutofit/>
                    </wps:bodyPr>
                  </wps:wsp>
                </a:graphicData>
              </a:graphic>
            </wp:anchor>
          </w:drawing>
        </mc:Choice>
        <mc:Fallback>
          <w:pict>
            <v:shapetype w14:anchorId="03D13077" id="_x0000_t202" coordsize="21600,21600" o:spt="202" path="m,l,21600r21600,l21600,xe">
              <v:stroke joinstyle="miter"/>
              <v:path gradientshapeok="t" o:connecttype="rect"/>
            </v:shapetype>
            <v:shape id="Textbox 1" o:spid="_x0000_s1026" type="#_x0000_t202" style="position:absolute;margin-left:81.2pt;margin-top:725.85pt;width:491.7pt;height:53.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JWWhwEAAAIDAAAOAAAAZHJzL2Uyb0RvYy54bWysUttOIzEMfUfiH6K80ykVFHbUKeKiRUgr&#10;WAn4gDSTdEaaxFk77Uz/fp30huAN8eI4dnJ8fOzZzeA6sTZILfhKno/GUhivoW79spLvb7/PrqWg&#10;qHytOvCmkhtD8mZ+ejLrQ2km0EBXGxQM4qnsQyWbGENZFKQb4xSNIBjPSQvoVOQrLosaVc/orism&#10;4/G06AHrgKANEUcftkk5z/jWGh1frCUTRVdJ5hazxWwXyRbzmSqXqELT6h0N9Q0WTrWeix6gHlRU&#10;YoXtFyjXagQCG0caXAHWttrkHrib8/Gnbl4bFUzuhcWhcJCJfg5WP69fw18UcbiDgQeYBOkDlcTB&#10;1M9g0aWTmQrOs4Sbg2xmiEJzcDq5uLj8xSnNuenVdHJ1mWCK4++AFB8NOJGcSiKPJaul1n8obp/u&#10;n/C/Y/3kxWEx7EgtoN4w157HVUn6t1JopOiePOuRZrt3cO8s9g7G7h7yBqRePNyuItg2V04ltri7&#10;yix05r5bijTJj/f86ri68/8AAAD//wMAUEsDBBQABgAIAAAAIQC58+5C4AAAAA4BAAAPAAAAZHJz&#10;L2Rvd25yZXYueG1sTI9BT4NAEIXvJv6HzZh4s0tJwYosTWP0ZGKkePC4sFMgZWeR3bb4752e7O29&#10;zMub7+Wb2Q7ihJPvHSlYLiIQSI0zPbUKvqq3hzUIHzQZPThCBb/oYVPc3uQ6M+5MJZ52oRVcQj7T&#10;CroQxkxK33RotV+4EYlvezdZHdhOrTSTPnO5HWQcRam0uif+0OkRXzpsDrujVbD9pvK1//moP8t9&#10;2VfVU0Tv6UGp+7t5+wwi4Bz+w3DBZ3QomKl2RzJeDOzTeMVRFqtk+QjiEmHJc2pWSbKOQRa5vJ5R&#10;/AEAAP//AwBQSwECLQAUAAYACAAAACEAtoM4kv4AAADhAQAAEwAAAAAAAAAAAAAAAAAAAAAAW0Nv&#10;bnRlbnRfVHlwZXNdLnhtbFBLAQItABQABgAIAAAAIQA4/SH/1gAAAJQBAAALAAAAAAAAAAAAAAAA&#10;AC8BAABfcmVscy8ucmVsc1BLAQItABQABgAIAAAAIQA9VJWWhwEAAAIDAAAOAAAAAAAAAAAAAAAA&#10;AC4CAABkcnMvZTJvRG9jLnhtbFBLAQItABQABgAIAAAAIQC58+5C4AAAAA4BAAAPAAAAAAAAAAAA&#10;AAAAAOEDAABkcnMvZG93bnJldi54bWxQSwUGAAAAAAQABADzAAAA7gQ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2C5E69" w14:paraId="14EC711A" w14:textId="77777777">
                      <w:trPr>
                        <w:trHeight w:val="258"/>
                      </w:trPr>
                      <w:tc>
                        <w:tcPr>
                          <w:tcW w:w="4849" w:type="dxa"/>
                          <w:tcBorders>
                            <w:left w:val="single" w:sz="6" w:space="0" w:color="000000"/>
                          </w:tcBorders>
                        </w:tcPr>
                        <w:p w14:paraId="14B17509" w14:textId="77777777" w:rsidR="002C5E69" w:rsidRDefault="00000000">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76E39C34" w14:textId="77777777" w:rsidR="002C5E69" w:rsidRDefault="00000000">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2C5E69" w14:paraId="2B0BA8BD" w14:textId="77777777">
                      <w:trPr>
                        <w:trHeight w:val="777"/>
                      </w:trPr>
                      <w:tc>
                        <w:tcPr>
                          <w:tcW w:w="4849" w:type="dxa"/>
                          <w:tcBorders>
                            <w:left w:val="single" w:sz="6" w:space="0" w:color="000000"/>
                          </w:tcBorders>
                        </w:tcPr>
                        <w:p w14:paraId="4DBBAFD0" w14:textId="77777777" w:rsidR="002C5E69" w:rsidRDefault="002C5E69">
                          <w:pPr>
                            <w:pStyle w:val="TableParagraph"/>
                            <w:rPr>
                              <w:sz w:val="20"/>
                            </w:rPr>
                          </w:pPr>
                        </w:p>
                      </w:tc>
                      <w:tc>
                        <w:tcPr>
                          <w:tcW w:w="4853" w:type="dxa"/>
                        </w:tcPr>
                        <w:p w14:paraId="34548F56" w14:textId="77777777" w:rsidR="002C5E69" w:rsidRDefault="002C5E69">
                          <w:pPr>
                            <w:pStyle w:val="TableParagraph"/>
                            <w:rPr>
                              <w:sz w:val="20"/>
                            </w:rPr>
                          </w:pPr>
                        </w:p>
                      </w:tc>
                    </w:tr>
                  </w:tbl>
                  <w:p w14:paraId="795533F9" w14:textId="77777777" w:rsidR="002C5E69" w:rsidRDefault="002C5E69">
                    <w:pPr>
                      <w:pStyle w:val="BodyText"/>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3CB3AE36" wp14:editId="542F2608">
              <wp:simplePos x="0" y="0"/>
              <wp:positionH relativeFrom="page">
                <wp:posOffset>1143000</wp:posOffset>
              </wp:positionH>
              <wp:positionV relativeFrom="page">
                <wp:posOffset>9865995</wp:posOffset>
              </wp:positionV>
              <wp:extent cx="885825" cy="9525"/>
              <wp:effectExtent l="0" t="0" r="0" b="0"/>
              <wp:wrapNone/>
              <wp:docPr id="2" name="Graphic 2"/>
              <wp:cNvGraphicFramePr/>
              <a:graphic xmlns:a="http://schemas.openxmlformats.org/drawingml/2006/main">
                <a:graphicData uri="http://schemas.microsoft.com/office/word/2010/wordprocessingShape">
                  <wps:wsp>
                    <wps:cNvSpPr/>
                    <wps:spPr>
                      <a:xfrm>
                        <a:off x="0" y="0"/>
                        <a:ext cx="885825" cy="9525"/>
                      </a:xfrm>
                      <a:custGeom>
                        <a:avLst/>
                        <a:gdLst/>
                        <a:ahLst/>
                        <a:cxnLst/>
                        <a:rect l="l" t="t" r="r" b="b"/>
                        <a:pathLst>
                          <a:path w="885825" h="9525">
                            <a:moveTo>
                              <a:pt x="885444" y="0"/>
                            </a:moveTo>
                            <a:lnTo>
                              <a:pt x="833628" y="0"/>
                            </a:lnTo>
                            <a:lnTo>
                              <a:pt x="832104" y="0"/>
                            </a:lnTo>
                            <a:lnTo>
                              <a:pt x="0" y="0"/>
                            </a:lnTo>
                            <a:lnTo>
                              <a:pt x="0" y="9144"/>
                            </a:lnTo>
                            <a:lnTo>
                              <a:pt x="832104" y="9144"/>
                            </a:lnTo>
                            <a:lnTo>
                              <a:pt x="833628" y="9144"/>
                            </a:lnTo>
                            <a:lnTo>
                              <a:pt x="885444" y="9144"/>
                            </a:lnTo>
                            <a:lnTo>
                              <a:pt x="885444" y="0"/>
                            </a:lnTo>
                            <a:close/>
                          </a:path>
                        </a:pathLst>
                      </a:custGeom>
                      <a:solidFill>
                        <a:srgbClr val="000000"/>
                      </a:solidFill>
                    </wps:spPr>
                    <wps:bodyPr wrap="square" lIns="0" tIns="0" rIns="0" bIns="0" rtlCol="0">
                      <a:noAutofit/>
                    </wps:bodyPr>
                  </wps:wsp>
                </a:graphicData>
              </a:graphic>
            </wp:anchor>
          </w:drawing>
        </mc:Choice>
        <mc:Fallback>
          <w:pict>
            <v:shape w14:anchorId="1FC2DB66" id="Graphic 2" o:spid="_x0000_s1026" style="position:absolute;margin-left:90pt;margin-top:776.85pt;width:69.75pt;height:.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885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BMkFQIAAA8FAAAOAAAAZHJzL2Uyb0RvYy54bWysVF1v2yAUfZ+0/4B4X5zPKrXiVFOrTpOm&#10;rVK7H0Awji1hLruQOPn3u+AQp+1D12p+gIs5HM79YnVzaDXbK3QNmIJPRmPOlJFQNmZb8N9P91+W&#10;nDkvTCk0GFXwo3L8Zv3506qzuZpCDbpUyIjEuLyzBa+9t3mWOVmrVrgRWGVoswJshaclbrMSRUfs&#10;rc6m4/FV1gGWFkEq5+jvXb/J15G/qpT0v6rKKc90wUmbjyPGcRPGbL0S+RaFrRt5kiE+oKIVjaFL&#10;z1R3wgu2w+YVVdtIBAeVH0loM6iqRqroA3kzGb/w5rEWVkVfKDjOnsPk/h+t/Ll/tA9IYeisyx2Z&#10;wYtDhW2YSR87xGAdz8FSB88k/VwuF8vpgjNJW9cLsogjG47KnfPfFEQasf/hfB/pMlmiTpY8mGQi&#10;5StkSsdMec4oU8gZZWrTZ8oKH84FbcFk3aCjPskIey3s1RNElA8OkNb5fM5Z8oJ0DhBtnkFns6sp&#10;Fe0FNAHSbHvO2XQyfs6ZAGnugVR2b5L1mOsJiezDmCjS/OrOf8CeHXkbO8TnPdjYPhTLJFJqcKrX&#10;H7IT6+GcMcJd1oQD3ZT3jdYhSw63m1uNbC9Cm8bvFIcLWDZUaLA2UB4fkHXUuwV3f3YCFWf6u6Hm&#10;CI2eDEzGJhno9S3E5yBcbeDrzkPVhPqMN/S8pwV1XfTi9EKEtr5cR9Twjq3/AgAA//8DAFBLAwQU&#10;AAYACAAAACEAhTEcEN4AAAANAQAADwAAAGRycy9kb3ducmV2LnhtbEyPzU7DMBCE70i8g7VI3Kjd&#10;VKEhxKlQJY4gkSK4uvGSWPgnst00vD0LF7jt7I5mv2l2i7NsxphM8BLWKwEMfR+08YOE18PjTQUs&#10;ZeW1ssGjhC9MsGsvLxpV63D2Lzh3eWAU4lOtJIw5TzXnqR/RqbQKE3q6fYToVCYZB66jOlO4s7wQ&#10;4pY7ZTx9GNWE+xH7z+7kJOBSvRV7MUf+pKKxz2aL3XuU8vpqebgHlnHJf2b4wSd0aInpGE5eJ2ZJ&#10;V4K6ZBrKcrMFRpbN+q4EdvxdlQXwtuH/W7TfAAAA//8DAFBLAQItABQABgAIAAAAIQC2gziS/gAA&#10;AOEBAAATAAAAAAAAAAAAAAAAAAAAAABbQ29udGVudF9UeXBlc10ueG1sUEsBAi0AFAAGAAgAAAAh&#10;ADj9If/WAAAAlAEAAAsAAAAAAAAAAAAAAAAALwEAAF9yZWxzLy5yZWxzUEsBAi0AFAAGAAgAAAAh&#10;ABb0EyQVAgAADwUAAA4AAAAAAAAAAAAAAAAALgIAAGRycy9lMm9Eb2MueG1sUEsBAi0AFAAGAAgA&#10;AAAhAIUxHBDeAAAADQEAAA8AAAAAAAAAAAAAAAAAbwQAAGRycy9kb3ducmV2LnhtbFBLBQYAAAAA&#10;BAAEAPMAAAB6BQAAAAA=&#10;" path="m885444,l833628,r-1524,l,,,9144r832104,l833628,9144r51816,l885444,xe" fillcolor="black"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2FD2E7A2" wp14:editId="490D0CD0">
              <wp:simplePos x="0" y="0"/>
              <wp:positionH relativeFrom="page">
                <wp:posOffset>4224020</wp:posOffset>
              </wp:positionH>
              <wp:positionV relativeFrom="page">
                <wp:posOffset>9865995</wp:posOffset>
              </wp:positionV>
              <wp:extent cx="883920" cy="9525"/>
              <wp:effectExtent l="0" t="0" r="0" b="0"/>
              <wp:wrapNone/>
              <wp:docPr id="3" name="Graphic 3"/>
              <wp:cNvGraphicFramePr/>
              <a:graphic xmlns:a="http://schemas.openxmlformats.org/drawingml/2006/main">
                <a:graphicData uri="http://schemas.microsoft.com/office/word/2010/wordprocessingShape">
                  <wps:wsp>
                    <wps:cNvSpPr/>
                    <wps:spPr>
                      <a:xfrm>
                        <a:off x="0" y="0"/>
                        <a:ext cx="883919" cy="9525"/>
                      </a:xfrm>
                      <a:custGeom>
                        <a:avLst/>
                        <a:gdLst/>
                        <a:ahLst/>
                        <a:cxnLst/>
                        <a:rect l="l" t="t" r="r" b="b"/>
                        <a:pathLst>
                          <a:path w="883919" h="9525">
                            <a:moveTo>
                              <a:pt x="883920" y="0"/>
                            </a:moveTo>
                            <a:lnTo>
                              <a:pt x="832104" y="0"/>
                            </a:lnTo>
                            <a:lnTo>
                              <a:pt x="830580" y="0"/>
                            </a:lnTo>
                            <a:lnTo>
                              <a:pt x="0" y="0"/>
                            </a:lnTo>
                            <a:lnTo>
                              <a:pt x="0" y="9144"/>
                            </a:lnTo>
                            <a:lnTo>
                              <a:pt x="830580" y="9144"/>
                            </a:lnTo>
                            <a:lnTo>
                              <a:pt x="832104" y="9144"/>
                            </a:lnTo>
                            <a:lnTo>
                              <a:pt x="883920" y="9144"/>
                            </a:lnTo>
                            <a:lnTo>
                              <a:pt x="883920" y="0"/>
                            </a:lnTo>
                            <a:close/>
                          </a:path>
                        </a:pathLst>
                      </a:custGeom>
                      <a:solidFill>
                        <a:srgbClr val="000000"/>
                      </a:solidFill>
                    </wps:spPr>
                    <wps:bodyPr wrap="square" lIns="0" tIns="0" rIns="0" bIns="0" rtlCol="0">
                      <a:noAutofit/>
                    </wps:bodyPr>
                  </wps:wsp>
                </a:graphicData>
              </a:graphic>
            </wp:anchor>
          </w:drawing>
        </mc:Choice>
        <mc:Fallback>
          <w:pict>
            <v:shape w14:anchorId="3F26155D" id="Graphic 3" o:spid="_x0000_s1026" style="position:absolute;margin-left:332.6pt;margin-top:776.85pt;width:69.6pt;height:.75pt;z-index:-251655168;visibility:visible;mso-wrap-style:square;mso-wrap-distance-left:0;mso-wrap-distance-top:0;mso-wrap-distance-right:0;mso-wrap-distance-bottom:0;mso-position-horizontal:absolute;mso-position-horizontal-relative:page;mso-position-vertical:absolute;mso-position-vertical-relative:page;v-text-anchor:top" coordsize="8839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WeEgIAAA8FAAAOAAAAZHJzL2Uyb0RvYy54bWysVMGO2yAQvVfqPyDujR0nqRIrzqra1VaV&#10;qnal3X4AwTi2hBkKxE7+vgM2cdI9dFvVBxjM4zHzZobt3amVpBPGNqAKOp+llAjFoWzUoaA/Xh4/&#10;rCmxjqmSSVCioGdh6d3u/bttr3ORQQ2yFIYgibJ5rwtaO6fzJLG8Fi2zM9BC4WYFpmUOl+aQlIb1&#10;yN7KJEvTj0kPptQGuLAW/z4Mm3QX+KtKcPe9qqxwRBYUfXNhNGHc+zHZbVl+MEzXDR/dYP/gRcsa&#10;hZdeqB6YY+RomldUbcMNWKjcjEObQFU1XIQYMJp5+ls0zzXTIsSC4lh9kcn+P1r+rXvWTwZl6LXN&#10;LZo+ilNlWj+jf+QUxDpfxBInRzj+XK8Xm/mGEo5bm1W28lIm01F+tO6zgEDDuq/WDUqX0WJ1tPhJ&#10;RdNgvnymZMiUowQzZSjBTO2HTGnm/DnvmzdJP/lRj274vRY68QIB5XwA3tcM0x+jQD8niFQ30EU2&#10;T5c30AiIsx44F+lqfcsZAXEegG/HbObL5ShjpIjzqzvfgL0E8mfspM/fYEP7oJbRSS7BiqEMfHZC&#10;PVwyhrjrmrAgm/KxkdJnyZrD/l4a0jHfpuEbdbiCJVOFemsP5fnJkB57t6D255EZQYn8orA5fKNH&#10;w0RjHw3j5D2E58BfreDT0UHV+PoMNwy84wK7LkQxvhC+ra/XATW9Y7tfAAAA//8DAFBLAwQUAAYA&#10;CAAAACEAakdgDt8AAAANAQAADwAAAGRycy9kb3ducmV2LnhtbEyPPU/DMBCGdyT+g3VILIjapE1a&#10;hTgVQu3GQsPAeI1NHNUfUew24d9zsNDx7nn13nPVdnaWXfQY++AlPC0EMO3boHrfSfho9o8bYDGh&#10;V2iD1xK+dYRtfXtTYanC5N/15ZA6RiU+lijBpDSUnMfWaIdxEQbtiX2F0WGicey4GnGicmd5JkTB&#10;HfaeLhgc9KvR7elwdhIau1x/4lzsmm6KZp+J05t52El5fze/PANLek7/YfjVJ3WoyekYzl5FZiUU&#10;RZ5RlECeL9fAKLIRqxWw49+KIK8rfv1F/QMAAP//AwBQSwECLQAUAAYACAAAACEAtoM4kv4AAADh&#10;AQAAEwAAAAAAAAAAAAAAAAAAAAAAW0NvbnRlbnRfVHlwZXNdLnhtbFBLAQItABQABgAIAAAAIQA4&#10;/SH/1gAAAJQBAAALAAAAAAAAAAAAAAAAAC8BAABfcmVscy8ucmVsc1BLAQItABQABgAIAAAAIQAU&#10;JzWeEgIAAA8FAAAOAAAAAAAAAAAAAAAAAC4CAABkcnMvZTJvRG9jLnhtbFBLAQItABQABgAIAAAA&#10;IQBqR2AO3wAAAA0BAAAPAAAAAAAAAAAAAAAAAGwEAABkcnMvZG93bnJldi54bWxQSwUGAAAAAAQA&#10;BADzAAAAeAUAAAAA&#10;" path="m883920,l832104,r-1524,l,,,9144r830580,l832104,9144r51816,l883920,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B882" w14:textId="77777777" w:rsidR="000D61D4" w:rsidRDefault="000D61D4">
      <w:r>
        <w:separator/>
      </w:r>
    </w:p>
  </w:footnote>
  <w:footnote w:type="continuationSeparator" w:id="0">
    <w:p w14:paraId="7E0741B5" w14:textId="77777777" w:rsidR="000D61D4" w:rsidRDefault="000D61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C5E69"/>
    <w:rsid w:val="000D61D4"/>
    <w:rsid w:val="00163505"/>
    <w:rsid w:val="002C5E69"/>
    <w:rsid w:val="00392AD3"/>
    <w:rsid w:val="006D3F43"/>
    <w:rsid w:val="00CA17B6"/>
    <w:rsid w:val="00D9651A"/>
    <w:rsid w:val="43B32789"/>
    <w:rsid w:val="7F186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3182"/>
  <w15:docId w15:val="{BAA46F9D-D062-4ABC-8FDA-BB258D16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right="161"/>
      <w:jc w:val="center"/>
      <w:outlineLvl w:val="0"/>
    </w:pPr>
    <w:rPr>
      <w:b/>
      <w:bCs/>
      <w:sz w:val="27"/>
      <w:szCs w:val="27"/>
    </w:rPr>
  </w:style>
  <w:style w:type="paragraph" w:styleId="Heading2">
    <w:name w:val="heading 2"/>
    <w:basedOn w:val="Normal"/>
    <w:uiPriority w:val="1"/>
    <w:qFormat/>
    <w:pPr>
      <w:spacing w:before="44"/>
      <w:ind w:left="733"/>
      <w:outlineLvl w:val="1"/>
    </w:pPr>
    <w:rPr>
      <w:b/>
      <w:bCs/>
    </w:rPr>
  </w:style>
  <w:style w:type="paragraph" w:styleId="Heading3">
    <w:name w:val="heading 3"/>
    <w:basedOn w:val="Normal"/>
    <w:uiPriority w:val="1"/>
    <w:qFormat/>
    <w:pPr>
      <w:ind w:left="724"/>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4"/>
      <w:ind w:left="926" w:hanging="1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aakas</dc:creator>
  <cp:lastModifiedBy>Hemanth Kumar</cp:lastModifiedBy>
  <cp:revision>3</cp:revision>
  <dcterms:created xsi:type="dcterms:W3CDTF">2026-06-01T03:47:00Z</dcterms:created>
  <dcterms:modified xsi:type="dcterms:W3CDTF">2026-06-16T09:47:00Z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2026-06-01T00:00:00Z</vt:filetime>
  </property>
  <property fmtid="{D5CDD505-2E9C-101B-9397-08002B2CF9AE}" pid="4" name="Producer">
    <vt:lpwstr>Microsoft: Print To PDF</vt:lpwstr>
  </property>
  <property fmtid="{D5CDD505-2E9C-101B-9397-08002B2CF9AE}" pid="5" name="KSOProductBuildVer">
    <vt:lpwstr>2057-12.2.0.23202</vt:lpwstr>
  </property>
  <property fmtid="{D5CDD505-2E9C-101B-9397-08002B2CF9AE}" pid="6" name="ICV">
    <vt:lpwstr>791AEC035D93497D970A24E77DD0BCE5_13</vt:lpwstr>
  </property>
</Properties>
</file>