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864"/>
          <w:sz w:val="28"/>
        </w:rPr>
        <w:t>CNSS – Caisse Nationale de Sécurité Sociale</w:t>
      </w:r>
    </w:p>
    <w:p/>
    <w:p>
      <w:pPr>
        <w:jc w:val="center"/>
      </w:pPr>
      <w:r>
        <w:rPr>
          <w:b/>
          <w:color w:val="1F3864"/>
          <w:sz w:val="44"/>
        </w:rPr>
        <w:t>Documentation Technique</w:t>
      </w:r>
    </w:p>
    <w:p>
      <w:pPr>
        <w:jc w:val="center"/>
      </w:pPr>
      <w:r>
        <w:rPr>
          <w:color w:val="404040"/>
          <w:sz w:val="26"/>
        </w:rPr>
        <w:t>Système ETL – Data Warehouse CNSS</w:t>
      </w:r>
    </w:p>
    <w:p/>
    <w:p/>
    <w:p>
      <w:pPr>
        <w:jc w:val="center"/>
      </w:pPr>
      <w:r>
        <w:rPr>
          <w:color w:val="606060"/>
          <w:sz w:val="22"/>
        </w:rPr>
        <w:t>Version : 1.0     |     Date : 30/03/2026</w:t>
      </w:r>
    </w:p>
    <w:p>
      <w:r>
        <w:br w:type="page"/>
      </w:r>
    </w:p>
    <w:p>
      <w:pPr>
        <w:pStyle w:val="Heading1"/>
      </w:pPr>
      <w:r>
        <w:t>1. Introduction</w:t>
      </w:r>
    </w:p>
    <w:p>
      <w:r>
        <w:t>Ce document décrit l'architecture technique, les composants Python et la logique de traitement du système ETL (Extract-Transform-Load) du Data Warehouse de la CNSS. Il est destiné aux développeurs et administrateurs chargés du déploiement, de la maintenance et de l'évolution de la plateforme.</w:t>
      </w:r>
    </w:p>
    <w:p>
      <w:r>
        <w:t>Le système couvre deux domaines métier :</w:t>
      </w:r>
    </w:p>
    <w:p>
      <w:pPr>
        <w:pStyle w:val="ListBullet"/>
      </w:pPr>
      <w:r>
        <w:t>GRH (Gestion des Ressources Humaines)</w:t>
      </w:r>
    </w:p>
    <w:p>
      <w:pPr>
        <w:pStyle w:val="ListBullet"/>
      </w:pPr>
      <w:r>
        <w:t>Prestation / Recouvrement</w:t>
      </w:r>
    </w:p>
    <w:p>
      <w:pPr>
        <w:pStyle w:val="Heading1"/>
      </w:pPr>
      <w:r>
        <w:t>2. Architecture Globale</w:t>
      </w:r>
    </w:p>
    <w:p>
      <w:r>
        <w:t>L'ETL suit une architecture trois couches, du système source OLTP jusqu'aux tables agrégées consommées par les outils de Business Intelligence :</w:t>
      </w:r>
    </w:p>
    <w:p>
      <w:pPr>
        <w:spacing w:before="80" w:after="80"/>
        <w:ind w:left="283"/>
        <w:shd w:val="clear" w:color="auto" w:fill="F2F2F2"/>
      </w:pPr>
      <w:r>
        <w:rPr>
          <w:rFonts w:ascii="Courier New" w:hAnsi="Courier New"/>
          <w:color w:val="1A1A6C"/>
          <w:sz w:val="17"/>
        </w:rPr>
        <w:t>Source OLTP (Oracle)</w:t>
        <w:br/>
        <w:t xml:space="preserve">      ↓  [Extract]</w:t>
        <w:br/>
        <w:t>Staging Parquet  (staging/raw/ → staging/transformed/)</w:t>
        <w:br/>
        <w:t xml:space="preserve">      ↓  [Transform]</w:t>
        <w:br/>
        <w:t>Data Warehouse Oracle</w:t>
        <w:br/>
        <w:t xml:space="preserve">   ├─ DWH.FAIT_*   (tables de faits – données transactionnelles détaillées)</w:t>
        <w:br/>
        <w:t xml:space="preserve">   └─ DWH.DIM_*    (tables de dimensions – données de référence)</w:t>
        <w:br/>
        <w:t xml:space="preserve">      ↓  [Load DTM]</w:t>
        <w:br/>
        <w:t>Couche DTM Oracle</w:t>
        <w:br/>
        <w:t xml:space="preserve">   └─ DTM.DTM_*    (agrégats pré-calculés pour le BI)</w:t>
        <w:br/>
        <w:t xml:space="preserve">      └─ DTM.DIM_* (dimensions partagées)</w:t>
      </w:r>
    </w:p>
    <w:p>
      <w:pPr>
        <w:pStyle w:val="Heading2"/>
      </w:pPr>
      <w:r>
        <w:t>2.1 Modes d'exécution</w:t>
      </w:r>
    </w:p>
    <w:p>
      <w:r>
        <w:t>Chaque pipeline peut être exécuté en mode granulaire (E / T / L) ou en mode ETL complet en mémoire (sans étape intermédiaire) :</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pPr>
              <w:jc w:val="center"/>
            </w:pPr>
            <w:r>
              <w:rPr>
                <w:b/>
                <w:color w:val="FFFFFF"/>
                <w:sz w:val="18"/>
              </w:rPr>
              <w:t>Mode</w:t>
            </w:r>
          </w:p>
        </w:tc>
        <w:tc>
          <w:tcPr>
            <w:tcW w:type="dxa" w:w="3135"/>
            <w:shd w:val="clear" w:color="auto" w:fill="1F3864"/>
          </w:tcPr>
          <w:p>
            <w:pPr>
              <w:jc w:val="center"/>
            </w:pPr>
            <w:r>
              <w:rPr>
                <w:b/>
                <w:color w:val="FFFFFF"/>
                <w:sz w:val="18"/>
              </w:rPr>
              <w:t>Description</w:t>
            </w:r>
          </w:p>
        </w:tc>
        <w:tc>
          <w:tcPr>
            <w:tcW w:type="dxa" w:w="3135"/>
            <w:shd w:val="clear" w:color="auto" w:fill="1F3864"/>
          </w:tcPr>
          <w:p>
            <w:pPr>
              <w:jc w:val="center"/>
            </w:pPr>
            <w:r>
              <w:rPr>
                <w:b/>
                <w:color w:val="FFFFFF"/>
                <w:sz w:val="18"/>
              </w:rPr>
              <w:t>Stockage intermédiaire</w:t>
            </w:r>
          </w:p>
        </w:tc>
      </w:tr>
      <w:tr>
        <w:tc>
          <w:tcPr>
            <w:tcW w:type="dxa" w:w="3135"/>
            <w:shd w:val="clear" w:color="auto" w:fill="EBF1F9"/>
          </w:tcPr>
          <w:p>
            <w:r>
              <w:rPr>
                <w:sz w:val="17"/>
              </w:rPr>
              <w:t>E – Extract</w:t>
            </w:r>
          </w:p>
        </w:tc>
        <w:tc>
          <w:tcPr>
            <w:tcW w:type="dxa" w:w="3135"/>
            <w:shd w:val="clear" w:color="auto" w:fill="EBF1F9"/>
          </w:tcPr>
          <w:p>
            <w:r>
              <w:rPr>
                <w:sz w:val="17"/>
              </w:rPr>
              <w:t>Extraction depuis la base source → fichier Parquet</w:t>
            </w:r>
          </w:p>
        </w:tc>
        <w:tc>
          <w:tcPr>
            <w:tcW w:type="dxa" w:w="3135"/>
            <w:shd w:val="clear" w:color="auto" w:fill="EBF1F9"/>
          </w:tcPr>
          <w:p>
            <w:r>
              <w:rPr>
                <w:sz w:val="17"/>
              </w:rPr>
              <w:t>staging/raw/{nom}_{YYYYMMDD}.parquet</w:t>
            </w:r>
          </w:p>
        </w:tc>
      </w:tr>
      <w:tr>
        <w:tc>
          <w:tcPr>
            <w:tcW w:type="dxa" w:w="3135"/>
          </w:tcPr>
          <w:p>
            <w:r>
              <w:rPr>
                <w:sz w:val="17"/>
              </w:rPr>
              <w:t>T – Transform</w:t>
            </w:r>
          </w:p>
        </w:tc>
        <w:tc>
          <w:tcPr>
            <w:tcW w:type="dxa" w:w="3135"/>
          </w:tcPr>
          <w:p>
            <w:r>
              <w:rPr>
                <w:sz w:val="17"/>
              </w:rPr>
              <w:t>Lecture Parquet raw, renommage, enrichissement → Parquet</w:t>
            </w:r>
          </w:p>
        </w:tc>
        <w:tc>
          <w:tcPr>
            <w:tcW w:type="dxa" w:w="3135"/>
          </w:tcPr>
          <w:p>
            <w:r>
              <w:rPr>
                <w:sz w:val="17"/>
              </w:rPr>
              <w:t>staging/transformed/{nom}_{YYYYMMDD}.parquet</w:t>
            </w:r>
          </w:p>
        </w:tc>
      </w:tr>
      <w:tr>
        <w:tc>
          <w:tcPr>
            <w:tcW w:type="dxa" w:w="3135"/>
            <w:shd w:val="clear" w:color="auto" w:fill="EBF1F9"/>
          </w:tcPr>
          <w:p>
            <w:r>
              <w:rPr>
                <w:sz w:val="17"/>
              </w:rPr>
              <w:t>L – Load</w:t>
            </w:r>
          </w:p>
        </w:tc>
        <w:tc>
          <w:tcPr>
            <w:tcW w:type="dxa" w:w="3135"/>
            <w:shd w:val="clear" w:color="auto" w:fill="EBF1F9"/>
          </w:tcPr>
          <w:p>
            <w:r>
              <w:rPr>
                <w:sz w:val="17"/>
              </w:rPr>
              <w:t>Lecture Parquet transformed, chargement dans Oracle DWH</w:t>
            </w:r>
          </w:p>
        </w:tc>
        <w:tc>
          <w:tcPr>
            <w:tcW w:type="dxa" w:w="3135"/>
            <w:shd w:val="clear" w:color="auto" w:fill="EBF1F9"/>
          </w:tcPr>
          <w:p>
            <w:r>
              <w:rPr>
                <w:sz w:val="17"/>
              </w:rPr>
              <w:t>–</w:t>
            </w:r>
          </w:p>
        </w:tc>
      </w:tr>
      <w:tr>
        <w:tc>
          <w:tcPr>
            <w:tcW w:type="dxa" w:w="3135"/>
          </w:tcPr>
          <w:p>
            <w:r>
              <w:rPr>
                <w:sz w:val="17"/>
              </w:rPr>
              <w:t>ETL complet</w:t>
            </w:r>
          </w:p>
        </w:tc>
        <w:tc>
          <w:tcPr>
            <w:tcW w:type="dxa" w:w="3135"/>
          </w:tcPr>
          <w:p>
            <w:r>
              <w:rPr>
                <w:sz w:val="17"/>
              </w:rPr>
              <w:t>E+T+L enchaînés en mémoire, sans fichier intermédiaire</w:t>
            </w:r>
          </w:p>
        </w:tc>
        <w:tc>
          <w:tcPr>
            <w:tcW w:type="dxa" w:w="3135"/>
          </w:tcPr>
          <w:p>
            <w:r>
              <w:rPr>
                <w:sz w:val="17"/>
              </w:rPr>
              <w:t>Aucun</w:t>
            </w:r>
          </w:p>
        </w:tc>
      </w:tr>
    </w:tbl>
    <w:p>
      <w:pPr>
        <w:pStyle w:val="Heading1"/>
      </w:pPr>
      <w:r>
        <w:t>3. Structure du Projet</w:t>
      </w:r>
    </w:p>
    <w:p>
      <w:pPr>
        <w:spacing w:before="80" w:after="80"/>
        <w:ind w:left="283"/>
        <w:shd w:val="clear" w:color="auto" w:fill="F2F2F2"/>
      </w:pPr>
      <w:r>
        <w:rPr>
          <w:rFonts w:ascii="Courier New" w:hAnsi="Courier New"/>
          <w:color w:val="1A1A6C"/>
          <w:sz w:val="17"/>
        </w:rPr>
        <w:t>ETL/</w:t>
        <w:br/>
        <w:t>├── domaines/</w:t>
        <w:br/>
        <w:t>│   ├── grh/</w:t>
        <w:br/>
        <w:t>│   │   ├── dims/        ← pipeline + config + SQL des dimensions GRH</w:t>
        <w:br/>
        <w:t>│   │   ├── facts/       ← pipeline + config + SQL des faits GRH</w:t>
        <w:br/>
        <w:t>│   │   └── dtm/         ← pipeline + config + SQL des agrégats GRH</w:t>
        <w:br/>
        <w:t>│   └── prestation_recouvrement/</w:t>
        <w:br/>
        <w:t>│       ├── dims/        ← pipeline + config + SQL des dimensions P/R</w:t>
        <w:br/>
        <w:t>│       ├── facts/       ← pipeline + config + SQL des faits P/R</w:t>
        <w:br/>
        <w:t>│       └── dtm/         ← pipeline + config + SQL des agrégats P/R</w:t>
        <w:br/>
        <w:t>├── shared/</w:t>
        <w:br/>
        <w:t>│   ├── base/            ← classes abstraites BaseLoader, BaseExtractor</w:t>
        <w:br/>
        <w:t>│   ├── configs/         ← settings.py, log_setup.py</w:t>
        <w:br/>
        <w:t>│   └── utils/           ← db_utils.py, staging.py, sql_loader.py</w:t>
        <w:br/>
        <w:t>├── run_dim.py           ← CLI – chargement d'une dimension</w:t>
        <w:br/>
        <w:t>├── run_fact.py          ← CLI – chargement d'un fait</w:t>
        <w:br/>
        <w:t>├── run_dtm.py           ← CLI – chargement des agrégats DTM</w:t>
        <w:br/>
        <w:t>├── requirements.txt</w:t>
        <w:br/>
        <w:t>└── .env                 ← variables d'environnement (credentials)</w:t>
      </w:r>
    </w:p>
    <w:p>
      <w:pPr>
        <w:pStyle w:val="Heading1"/>
      </w:pPr>
      <w:r>
        <w:t>4. Environnement et Configuration</w:t>
      </w:r>
    </w:p>
    <w:p>
      <w:pPr>
        <w:pStyle w:val="Heading2"/>
      </w:pPr>
      <w:r>
        <w:t>4.1 Fichier .env</w:t>
      </w:r>
    </w:p>
    <w:p>
      <w:r>
        <w:t>Les paramètres de connexion et les chemins sont définis dans le fichier .env à la racine du projet (chargé automatiquement par python-dotenv) :</w:t>
      </w:r>
    </w:p>
    <w:p>
      <w:pPr>
        <w:spacing w:before="80" w:after="80"/>
        <w:ind w:left="283"/>
        <w:shd w:val="clear" w:color="auto" w:fill="F2F2F2"/>
      </w:pPr>
      <w:r>
        <w:rPr>
          <w:rFonts w:ascii="Courier New" w:hAnsi="Courier New"/>
          <w:color w:val="1A1A6C"/>
          <w:sz w:val="17"/>
        </w:rPr>
        <w:t># Base de données source (OLTP)</w:t>
        <w:br/>
        <w:t>SRC_ORACLE_HOST=&lt;adresse_serveur&gt;</w:t>
        <w:br/>
        <w:t>SRC_ORACLE_PORT=1521</w:t>
        <w:br/>
        <w:t>SRC_ORACLE_SERVICE=&lt;service_oracle&gt;</w:t>
        <w:br/>
        <w:t>SRC_ORACLE_USER=user_dwh</w:t>
        <w:br/>
        <w:t>SRC_ORACLE_PASSWORD=&lt;mot_de_passe&gt;</w:t>
        <w:br/>
        <w:br/>
        <w:t># Base Data Warehouse (cible)</w:t>
        <w:br/>
        <w:t>DW_ORACLE_HOST=&lt;adresse_serveur&gt;</w:t>
        <w:br/>
        <w:t>DW_ORACLE_PORT=1521</w:t>
        <w:br/>
        <w:t>DW_ORACLE_SERVICE=&lt;service_oracle&gt;</w:t>
        <w:br/>
        <w:t>DW_ORACLE_USER=dwh</w:t>
        <w:br/>
        <w:t>DW_ORACLE_PASSWORD=&lt;mot_de_passe&gt;</w:t>
        <w:br/>
        <w:br/>
        <w:t># Staging et archivage</w:t>
        <w:br/>
        <w:t>STAGING_DIR=/chemin/vers/staging</w:t>
        <w:br/>
        <w:t>ODS_SCHEMA=ods          # optionnel – active l'archivage ODS avant TRUNCATE</w:t>
        <w:br/>
        <w:t>ORA_THICK_MODE=false     # true si Oracle Instant Client requis</w:t>
      </w:r>
    </w:p>
    <w:p>
      <w:pPr>
        <w:pStyle w:val="Heading2"/>
      </w:pPr>
      <w:r>
        <w:t>4.2 Dépendances Python</w:t>
      </w:r>
    </w:p>
    <w:p>
      <w:r>
        <w:t>Fichier requirements.txt :</w:t>
      </w:r>
    </w:p>
    <w:p>
      <w:pPr>
        <w:spacing w:before="80" w:after="80"/>
        <w:ind w:left="283"/>
        <w:shd w:val="clear" w:color="auto" w:fill="F2F2F2"/>
      </w:pPr>
      <w:r>
        <w:rPr>
          <w:rFonts w:ascii="Courier New" w:hAnsi="Courier New"/>
          <w:color w:val="1A1A6C"/>
          <w:sz w:val="17"/>
        </w:rPr>
        <w:t>oracledb       # Pilote Oracle (thin ou thick mode)</w:t>
        <w:br/>
        <w:t>pandas         # Manipulation de DataFrames</w:t>
        <w:br/>
        <w:t>numpy          # Opérations numériques</w:t>
        <w:br/>
        <w:t>python-dotenv  # Chargement du fichier .env</w:t>
        <w:br/>
        <w:t>pyyaml         # Fichiers de configuration YAML</w:t>
        <w:br/>
        <w:t>pyarrow        # Format Parquet (staging intermédiaire)</w:t>
        <w:br/>
        <w:t>colorlog       # Logs colorés dans le terminal</w:t>
      </w:r>
    </w:p>
    <w:p>
      <w:pPr>
        <w:pStyle w:val="Heading1"/>
      </w:pPr>
      <w:r>
        <w:t>5. Classes de Base Python</w:t>
      </w:r>
    </w:p>
    <w:p>
      <w:pPr>
        <w:pStyle w:val="Heading2"/>
      </w:pPr>
      <w:r>
        <w:t>5.1 BaseLoader (shared/base/base_loader.py)</w:t>
      </w:r>
    </w:p>
    <w:p>
      <w:r>
        <w:t>Classe abstraite centralisant toutes les opérations d'écriture vers Oracle. Tous les loaders de dimension et de fait héritent de cette classe.</w:t>
      </w:r>
    </w:p>
    <w:tbl>
      <w:tblPr>
        <w:tblStyle w:val="TableGrid"/>
        <w:tblW w:type="auto" w:w="0"/>
        <w:tblLook w:firstColumn="1" w:firstRow="1" w:lastColumn="0" w:lastRow="0" w:noHBand="0" w:noVBand="1" w:val="04A0"/>
      </w:tblPr>
      <w:tblGrid>
        <w:gridCol w:w="4703"/>
        <w:gridCol w:w="4703"/>
      </w:tblGrid>
      <w:tr>
        <w:tc>
          <w:tcPr>
            <w:tcW w:type="dxa" w:w="4703"/>
            <w:shd w:val="clear" w:color="auto" w:fill="1F3864"/>
          </w:tcPr>
          <w:p>
            <w:pPr>
              <w:jc w:val="center"/>
            </w:pPr>
            <w:r>
              <w:rPr>
                <w:b/>
                <w:color w:val="FFFFFF"/>
                <w:sz w:val="18"/>
              </w:rPr>
              <w:t>Méthode</w:t>
            </w:r>
          </w:p>
        </w:tc>
        <w:tc>
          <w:tcPr>
            <w:tcW w:type="dxa" w:w="4703"/>
            <w:shd w:val="clear" w:color="auto" w:fill="1F3864"/>
          </w:tcPr>
          <w:p>
            <w:pPr>
              <w:jc w:val="center"/>
            </w:pPr>
            <w:r>
              <w:rPr>
                <w:b/>
                <w:color w:val="FFFFFF"/>
                <w:sz w:val="18"/>
              </w:rPr>
              <w:t>Description</w:t>
            </w:r>
          </w:p>
        </w:tc>
      </w:tr>
      <w:tr>
        <w:tc>
          <w:tcPr>
            <w:tcW w:type="dxa" w:w="4703"/>
            <w:shd w:val="clear" w:color="auto" w:fill="EBF1F9"/>
          </w:tcPr>
          <w:p>
            <w:r>
              <w:rPr>
                <w:sz w:val="17"/>
              </w:rPr>
              <w:t>_merge(table, df, key_cols, seq_cols)</w:t>
            </w:r>
          </w:p>
        </w:tc>
        <w:tc>
          <w:tcPr>
            <w:tcW w:type="dxa" w:w="4703"/>
            <w:shd w:val="clear" w:color="auto" w:fill="EBF1F9"/>
          </w:tcPr>
          <w:p>
            <w:r>
              <w:rPr>
                <w:sz w:val="17"/>
              </w:rPr>
              <w:t>MERGE Oracle : mise à jour des lignes existantes, insertion des nouvelles. Utilise les key_cols comme clés de jointure.</w:t>
            </w:r>
          </w:p>
        </w:tc>
      </w:tr>
      <w:tr>
        <w:tc>
          <w:tcPr>
            <w:tcW w:type="dxa" w:w="4703"/>
          </w:tcPr>
          <w:p>
            <w:r>
              <w:rPr>
                <w:sz w:val="17"/>
              </w:rPr>
              <w:t>_merge_via_gtt(table, df, key_cols, seq_cols)</w:t>
            </w:r>
          </w:p>
        </w:tc>
        <w:tc>
          <w:tcPr>
            <w:tcW w:type="dxa" w:w="4703"/>
          </w:tcPr>
          <w:p>
            <w:r>
              <w:rPr>
                <w:sz w:val="17"/>
              </w:rPr>
              <w:t>Variante GTT : passe par une table temporaire globale pour les grandes dimensions. Réduit la pression Redo/Undo.</w:t>
            </w:r>
          </w:p>
        </w:tc>
      </w:tr>
      <w:tr>
        <w:tc>
          <w:tcPr>
            <w:tcW w:type="dxa" w:w="4703"/>
            <w:shd w:val="clear" w:color="auto" w:fill="EBF1F9"/>
          </w:tcPr>
          <w:p>
            <w:r>
              <w:rPr>
                <w:sz w:val="17"/>
              </w:rPr>
              <w:t>_bulk_insert(table, df, seq_cols)</w:t>
            </w:r>
          </w:p>
        </w:tc>
        <w:tc>
          <w:tcPr>
            <w:tcW w:type="dxa" w:w="4703"/>
            <w:shd w:val="clear" w:color="auto" w:fill="EBF1F9"/>
          </w:tcPr>
          <w:p>
            <w:r>
              <w:rPr>
                <w:sz w:val="17"/>
              </w:rPr>
              <w:t>INSERT /*+ APPEND */ par lots. Utilisé pour les tables de faits volumineuses.</w:t>
            </w:r>
          </w:p>
        </w:tc>
      </w:tr>
      <w:tr>
        <w:tc>
          <w:tcPr>
            <w:tcW w:type="dxa" w:w="4703"/>
          </w:tcPr>
          <w:p>
            <w:r>
              <w:rPr>
                <w:sz w:val="17"/>
              </w:rPr>
              <w:t>_delete_cliche(table, cliche)</w:t>
            </w:r>
          </w:p>
        </w:tc>
        <w:tc>
          <w:tcPr>
            <w:tcW w:type="dxa" w:w="4703"/>
          </w:tcPr>
          <w:p>
            <w:r>
              <w:rPr>
                <w:sz w:val="17"/>
              </w:rPr>
              <w:t>DELETE WHERE CLICHE = :1. Supprime les données du snapshot mensuel avant rechargement.</w:t>
            </w:r>
          </w:p>
        </w:tc>
      </w:tr>
      <w:tr>
        <w:tc>
          <w:tcPr>
            <w:tcW w:type="dxa" w:w="4703"/>
            <w:shd w:val="clear" w:color="auto" w:fill="EBF1F9"/>
          </w:tcPr>
          <w:p>
            <w:r>
              <w:rPr>
                <w:sz w:val="17"/>
              </w:rPr>
              <w:t>_archive_to_ods_and_truncate(table, ods_schema, cliche)</w:t>
            </w:r>
          </w:p>
        </w:tc>
        <w:tc>
          <w:tcPr>
            <w:tcW w:type="dxa" w:w="4703"/>
            <w:shd w:val="clear" w:color="auto" w:fill="EBF1F9"/>
          </w:tcPr>
          <w:p>
            <w:r>
              <w:rPr>
                <w:sz w:val="17"/>
              </w:rPr>
              <w:t>Archive les données dans le schéma ODS puis TRUNCATE la table DWH.</w:t>
            </w:r>
          </w:p>
        </w:tc>
      </w:tr>
      <w:tr>
        <w:tc>
          <w:tcPr>
            <w:tcW w:type="dxa" w:w="4703"/>
          </w:tcPr>
          <w:p>
            <w:r>
              <w:rPr>
                <w:sz w:val="17"/>
              </w:rPr>
              <w:t>_delete_insert_period(table, df, period_cols, seq_cols)</w:t>
            </w:r>
          </w:p>
        </w:tc>
        <w:tc>
          <w:tcPr>
            <w:tcW w:type="dxa" w:w="4703"/>
          </w:tcPr>
          <w:p>
            <w:r>
              <w:rPr>
                <w:sz w:val="17"/>
              </w:rPr>
              <w:t>Delete par période + INSERT pour les tables avec colonnes L_ANNEE / L_MOIS.</w:t>
            </w:r>
          </w:p>
        </w:tc>
      </w:tr>
      <w:tr>
        <w:tc>
          <w:tcPr>
            <w:tcW w:type="dxa" w:w="4703"/>
            <w:shd w:val="clear" w:color="auto" w:fill="EBF1F9"/>
          </w:tcPr>
          <w:p>
            <w:r>
              <w:rPr>
                <w:sz w:val="17"/>
              </w:rPr>
              <w:t>_ensure_gtt(table)</w:t>
            </w:r>
          </w:p>
        </w:tc>
        <w:tc>
          <w:tcPr>
            <w:tcW w:type="dxa" w:w="4703"/>
            <w:shd w:val="clear" w:color="auto" w:fill="EBF1F9"/>
          </w:tcPr>
          <w:p>
            <w:r>
              <w:rPr>
                <w:sz w:val="17"/>
              </w:rPr>
              <w:t>Crée la table temporaire globale (GTT) si elle n'existe pas déjà.</w:t>
            </w:r>
          </w:p>
        </w:tc>
      </w:tr>
    </w:tbl>
    <w:p>
      <w:pPr>
        <w:pStyle w:val="Heading2"/>
      </w:pPr>
      <w:r>
        <w:t>5.2 BaseExtractor (shared/base/base_extractor.py)</w:t>
      </w:r>
    </w:p>
    <w:p>
      <w:r>
        <w:t>Classe abstraite pour l'extraction depuis Oracle. Gère la connexion, le streaming par lots (fetchmany), et l'écriture Parquet incrémentale.</w:t>
      </w:r>
    </w:p>
    <w:p>
      <w:pPr>
        <w:pStyle w:val="Heading2"/>
      </w:pPr>
      <w:r>
        <w:t>5.3 BaseTransformer (shared/base/base_transformer.py)</w:t>
      </w:r>
    </w:p>
    <w:p>
      <w:r>
        <w:t>Classe abstraite pour les transformations de données : renommage des colonnes (col_map), ajout de colonnes synthétiques (extra_cols), et application de fonctions de transformation métier (transform_fn).</w:t>
      </w:r>
    </w:p>
    <w:p>
      <w:pPr>
        <w:pStyle w:val="Heading1"/>
      </w:pPr>
      <w:r>
        <w:t>6. Pipelines ETL</w:t>
      </w:r>
    </w:p>
    <w:p>
      <w:pPr>
        <w:pStyle w:val="Heading2"/>
      </w:pPr>
      <w:r>
        <w:t>6.1 Pipeline Dimensions (pipeline_dims.py)</w:t>
      </w:r>
    </w:p>
    <w:p>
      <w:r>
        <w:t>Chaque domaine possède son propre pipeline de dimensions. La classe DimsPipeline lit la configuration (dim_config.py), établit les connexions source et DWH, puis charge chaque dimension via la classe _GenericDimLoader.</w:t>
      </w:r>
    </w:p>
    <w:p>
      <w:r>
        <w:t>Stratégies de chargement disponibles :</w:t>
      </w:r>
    </w:p>
    <w:p>
      <w:pPr>
        <w:pStyle w:val="ListBullet"/>
      </w:pPr>
      <w:r>
        <w:t>merge (défaut) : MERGE Oracle – upsert ligne par ligne via les key_cols.</w:t>
      </w:r>
    </w:p>
    <w:p>
      <w:pPr>
        <w:pStyle w:val="ListBullet"/>
      </w:pPr>
      <w:r>
        <w:t>gtt : MERGE via GTT – recommandé pour les dimensions volumineuses (&gt; 100 000 lignes).</w:t>
      </w:r>
    </w:p>
    <w:p>
      <w:pPr>
        <w:pStyle w:val="Heading2"/>
      </w:pPr>
      <w:r>
        <w:t>6.2 Pipeline Faits (pipeline_facts.py)</w:t>
      </w:r>
    </w:p>
    <w:p>
      <w:r>
        <w:t>La classe FactsPipeline orchestre le chargement des tables de faits. L'extraction est réalisée en streaming (fetchmany) pour éviter les problèmes mémoire sur les tables volumineuses. Le CLICHE est injecté automatiquement dans chaque lot à partir de la date du run.</w:t>
      </w:r>
    </w:p>
    <w:p>
      <w:r>
        <w:t>Séquence de chargement d'un fait :</w:t>
      </w:r>
    </w:p>
    <w:p>
      <w:pPr>
        <w:pStyle w:val="ListBullet"/>
      </w:pPr>
      <w:r>
        <w:t>1. Extraction SQL depuis la base source (avec cursor.arraysize configurable)</w:t>
      </w:r>
    </w:p>
    <w:p>
      <w:pPr>
        <w:pStyle w:val="ListBullet"/>
      </w:pPr>
      <w:r>
        <w:t>2. Conversion en DataFrame Pandas avec cast des types Oracle</w:t>
      </w:r>
    </w:p>
    <w:p>
      <w:pPr>
        <w:pStyle w:val="ListBullet"/>
      </w:pPr>
      <w:r>
        <w:t>3. Injection du CLICHE (format MMYYYY)</w:t>
      </w:r>
    </w:p>
    <w:p>
      <w:pPr>
        <w:pStyle w:val="ListBullet"/>
      </w:pPr>
      <w:r>
        <w:t>4. Suppression des données existantes pour ce CLICHE (ou archive ODS)</w:t>
      </w:r>
    </w:p>
    <w:p>
      <w:pPr>
        <w:pStyle w:val="ListBullet"/>
      </w:pPr>
      <w:r>
        <w:t>5. INSERT /*+ APPEND */ par lots dans la table de fait DWH</w:t>
      </w:r>
    </w:p>
    <w:p>
      <w:pPr>
        <w:pStyle w:val="Heading2"/>
      </w:pPr>
      <w:r>
        <w:t>6.3 Pipeline DTM (pipeline_dtm.py)</w:t>
      </w:r>
    </w:p>
    <w:p>
      <w:r>
        <w:t>Le pipeline DTM exécute les requêtes SQL d'agrégation qui lisent les tables de faits DWH et les dimensions DTM. Le résultat est chargé dans les tables DTM.DTM_* après suppression des données du CLICHE courant.</w:t>
      </w:r>
    </w:p>
    <w:p>
      <w:r>
        <w:t>Les requêtes SQL DTM reçoivent :1 = CLICHE comme variable de liaison pour filtrer le snapshot mensuel source.</w:t>
      </w:r>
    </w:p>
    <w:p>
      <w:pPr>
        <w:pStyle w:val="Heading1"/>
      </w:pPr>
      <w:r>
        <w:t>7. Scripts d'Exécution (CLI)</w:t>
      </w:r>
    </w:p>
    <w:p>
      <w:pPr>
        <w:pStyle w:val="Heading2"/>
      </w:pPr>
      <w:r>
        <w:t>7.1 run_dim.py – Chargement d'une Dimension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pPr>
              <w:jc w:val="center"/>
            </w:pPr>
            <w:r>
              <w:rPr>
                <w:b/>
                <w:color w:val="FFFFFF"/>
                <w:sz w:val="18"/>
              </w:rPr>
              <w:t>Argument</w:t>
            </w:r>
          </w:p>
        </w:tc>
        <w:tc>
          <w:tcPr>
            <w:tcW w:type="dxa" w:w="3135"/>
            <w:shd w:val="clear" w:color="auto" w:fill="1F3864"/>
          </w:tcPr>
          <w:p>
            <w:pPr>
              <w:jc w:val="center"/>
            </w:pPr>
            <w:r>
              <w:rPr>
                <w:b/>
                <w:color w:val="FFFFFF"/>
                <w:sz w:val="18"/>
              </w:rPr>
              <w:t>Valeurs</w:t>
            </w:r>
          </w:p>
        </w:tc>
        <w:tc>
          <w:tcPr>
            <w:tcW w:type="dxa" w:w="3135"/>
            <w:shd w:val="clear" w:color="auto" w:fill="1F3864"/>
          </w:tcPr>
          <w:p>
            <w:pPr>
              <w:jc w:val="center"/>
            </w:pPr>
            <w:r>
              <w:rPr>
                <w:b/>
                <w:color w:val="FFFFFF"/>
                <w:sz w:val="18"/>
              </w:rPr>
              <w:t>Description</w:t>
            </w:r>
          </w:p>
        </w:tc>
      </w:tr>
      <w:tr>
        <w:tc>
          <w:tcPr>
            <w:tcW w:type="dxa" w:w="3135"/>
            <w:shd w:val="clear" w:color="auto" w:fill="EBF1F9"/>
          </w:tcPr>
          <w:p>
            <w:r>
              <w:rPr>
                <w:sz w:val="17"/>
              </w:rPr>
              <w:t>--dim</w:t>
            </w:r>
          </w:p>
        </w:tc>
        <w:tc>
          <w:tcPr>
            <w:tcW w:type="dxa" w:w="3135"/>
            <w:shd w:val="clear" w:color="auto" w:fill="EBF1F9"/>
          </w:tcPr>
          <w:p>
            <w:r>
              <w:rPr>
                <w:sz w:val="17"/>
              </w:rPr>
              <w:t>&lt;nom_dimension&gt;</w:t>
            </w:r>
          </w:p>
        </w:tc>
        <w:tc>
          <w:tcPr>
            <w:tcW w:type="dxa" w:w="3135"/>
            <w:shd w:val="clear" w:color="auto" w:fill="EBF1F9"/>
          </w:tcPr>
          <w:p>
            <w:r>
              <w:rPr>
                <w:sz w:val="17"/>
              </w:rPr>
              <w:t>Nom court de la dimension (ex : branche, grh_fonction)</w:t>
            </w:r>
          </w:p>
        </w:tc>
      </w:tr>
      <w:tr>
        <w:tc>
          <w:tcPr>
            <w:tcW w:type="dxa" w:w="3135"/>
          </w:tcPr>
          <w:p>
            <w:r>
              <w:rPr>
                <w:sz w:val="17"/>
              </w:rPr>
              <w:t>--step</w:t>
            </w:r>
          </w:p>
        </w:tc>
        <w:tc>
          <w:tcPr>
            <w:tcW w:type="dxa" w:w="3135"/>
          </w:tcPr>
          <w:p>
            <w:r>
              <w:rPr>
                <w:sz w:val="17"/>
              </w:rPr>
              <w:t>E | T | L | (absent)</w:t>
            </w:r>
          </w:p>
        </w:tc>
        <w:tc>
          <w:tcPr>
            <w:tcW w:type="dxa" w:w="3135"/>
          </w:tcPr>
          <w:p>
            <w:r>
              <w:rPr>
                <w:sz w:val="17"/>
              </w:rPr>
              <w:t>Étape à exécuter. Sans --step : ETL complet en mémoire</w:t>
            </w:r>
          </w:p>
        </w:tc>
      </w:tr>
    </w:tbl>
    <w:p>
      <w:r>
        <w:t>Exemples :</w:t>
      </w:r>
    </w:p>
    <w:p>
      <w:pPr>
        <w:spacing w:before="80" w:after="80"/>
        <w:ind w:left="283"/>
        <w:shd w:val="clear" w:color="auto" w:fill="F2F2F2"/>
      </w:pPr>
      <w:r>
        <w:rPr>
          <w:rFonts w:ascii="Courier New" w:hAnsi="Courier New"/>
          <w:color w:val="1A1A6C"/>
          <w:sz w:val="17"/>
        </w:rPr>
        <w:t># ETL complet en mémoire</w:t>
        <w:br/>
        <w:t>python run_dim.py --dim branche</w:t>
        <w:br/>
        <w:br/>
        <w:t># Extraction seule vers staging/raw/</w:t>
        <w:br/>
        <w:t>python run_dim.py --dim branche --step E</w:t>
        <w:br/>
        <w:br/>
        <w:t># Transformation seule</w:t>
        <w:br/>
        <w:t>python run_dim.py --dim branche --step T</w:t>
        <w:br/>
        <w:br/>
        <w:t># Chargement depuis staging/transformed/</w:t>
        <w:br/>
        <w:t>python run_dim.py --dim branche --step L</w:t>
      </w:r>
    </w:p>
    <w:p>
      <w:pPr>
        <w:pStyle w:val="Heading2"/>
      </w:pPr>
      <w:r>
        <w:t>7.2 run_fact.py – Chargement d'un Fait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pPr>
              <w:jc w:val="center"/>
            </w:pPr>
            <w:r>
              <w:rPr>
                <w:b/>
                <w:color w:val="FFFFFF"/>
                <w:sz w:val="18"/>
              </w:rPr>
              <w:t>Argument</w:t>
            </w:r>
          </w:p>
        </w:tc>
        <w:tc>
          <w:tcPr>
            <w:tcW w:type="dxa" w:w="3135"/>
            <w:shd w:val="clear" w:color="auto" w:fill="1F3864"/>
          </w:tcPr>
          <w:p>
            <w:pPr>
              <w:jc w:val="center"/>
            </w:pPr>
            <w:r>
              <w:rPr>
                <w:b/>
                <w:color w:val="FFFFFF"/>
                <w:sz w:val="18"/>
              </w:rPr>
              <w:t>Valeurs</w:t>
            </w:r>
          </w:p>
        </w:tc>
        <w:tc>
          <w:tcPr>
            <w:tcW w:type="dxa" w:w="3135"/>
            <w:shd w:val="clear" w:color="auto" w:fill="1F3864"/>
          </w:tcPr>
          <w:p>
            <w:pPr>
              <w:jc w:val="center"/>
            </w:pPr>
            <w:r>
              <w:rPr>
                <w:b/>
                <w:color w:val="FFFFFF"/>
                <w:sz w:val="18"/>
              </w:rPr>
              <w:t>Description</w:t>
            </w:r>
          </w:p>
        </w:tc>
      </w:tr>
      <w:tr>
        <w:tc>
          <w:tcPr>
            <w:tcW w:type="dxa" w:w="3135"/>
            <w:shd w:val="clear" w:color="auto" w:fill="EBF1F9"/>
          </w:tcPr>
          <w:p>
            <w:r>
              <w:rPr>
                <w:sz w:val="17"/>
              </w:rPr>
              <w:t>--fact</w:t>
            </w:r>
          </w:p>
        </w:tc>
        <w:tc>
          <w:tcPr>
            <w:tcW w:type="dxa" w:w="3135"/>
            <w:shd w:val="clear" w:color="auto" w:fill="EBF1F9"/>
          </w:tcPr>
          <w:p>
            <w:r>
              <w:rPr>
                <w:sz w:val="17"/>
              </w:rPr>
              <w:t>&lt;nom_fait&gt;</w:t>
            </w:r>
          </w:p>
        </w:tc>
        <w:tc>
          <w:tcPr>
            <w:tcW w:type="dxa" w:w="3135"/>
            <w:shd w:val="clear" w:color="auto" w:fill="EBF1F9"/>
          </w:tcPr>
          <w:p>
            <w:r>
              <w:rPr>
                <w:sz w:val="17"/>
              </w:rPr>
              <w:t>Nom court du fait (ex : contrainte, grh_absence)</w:t>
            </w:r>
          </w:p>
        </w:tc>
      </w:tr>
      <w:tr>
        <w:tc>
          <w:tcPr>
            <w:tcW w:type="dxa" w:w="3135"/>
          </w:tcPr>
          <w:p>
            <w:r>
              <w:rPr>
                <w:sz w:val="17"/>
              </w:rPr>
              <w:t>--step</w:t>
            </w:r>
          </w:p>
        </w:tc>
        <w:tc>
          <w:tcPr>
            <w:tcW w:type="dxa" w:w="3135"/>
          </w:tcPr>
          <w:p>
            <w:r>
              <w:rPr>
                <w:sz w:val="17"/>
              </w:rPr>
              <w:t>E | T | L | (absent)</w:t>
            </w:r>
          </w:p>
        </w:tc>
        <w:tc>
          <w:tcPr>
            <w:tcW w:type="dxa" w:w="3135"/>
          </w:tcPr>
          <w:p>
            <w:r>
              <w:rPr>
                <w:sz w:val="17"/>
              </w:rPr>
              <w:t>Étape à exécuter. Sans --step : ETL complet en mémoire</w:t>
            </w:r>
          </w:p>
        </w:tc>
      </w:tr>
      <w:tr>
        <w:tc>
          <w:tcPr>
            <w:tcW w:type="dxa" w:w="3135"/>
            <w:shd w:val="clear" w:color="auto" w:fill="EBF1F9"/>
          </w:tcPr>
          <w:p>
            <w:r>
              <w:rPr>
                <w:sz w:val="17"/>
              </w:rPr>
              <w:t>--date</w:t>
            </w:r>
          </w:p>
        </w:tc>
        <w:tc>
          <w:tcPr>
            <w:tcW w:type="dxa" w:w="3135"/>
            <w:shd w:val="clear" w:color="auto" w:fill="EBF1F9"/>
          </w:tcPr>
          <w:p>
            <w:r>
              <w:rPr>
                <w:sz w:val="17"/>
              </w:rPr>
              <w:t>YYYYMMDD</w:t>
            </w:r>
          </w:p>
        </w:tc>
        <w:tc>
          <w:tcPr>
            <w:tcW w:type="dxa" w:w="3135"/>
            <w:shd w:val="clear" w:color="auto" w:fill="EBF1F9"/>
          </w:tcPr>
          <w:p>
            <w:r>
              <w:rPr>
                <w:sz w:val="17"/>
              </w:rPr>
              <w:t>Date de référence pour les fichiers staging (défaut : aujourd'hui)</w:t>
            </w:r>
          </w:p>
        </w:tc>
      </w:tr>
      <w:tr>
        <w:tc>
          <w:tcPr>
            <w:tcW w:type="dxa" w:w="3135"/>
          </w:tcPr>
          <w:p>
            <w:r>
              <w:rPr>
                <w:sz w:val="17"/>
              </w:rPr>
              <w:t>--fetch</w:t>
            </w:r>
          </w:p>
        </w:tc>
        <w:tc>
          <w:tcPr>
            <w:tcW w:type="dxa" w:w="3135"/>
          </w:tcPr>
          <w:p>
            <w:r>
              <w:rPr>
                <w:sz w:val="17"/>
              </w:rPr>
              <w:t>entier</w:t>
            </w:r>
          </w:p>
        </w:tc>
        <w:tc>
          <w:tcPr>
            <w:tcW w:type="dxa" w:w="3135"/>
          </w:tcPr>
          <w:p>
            <w:r>
              <w:rPr>
                <w:sz w:val="17"/>
              </w:rPr>
              <w:t>Taille des lots d'extraction (défaut : 50 000)</w:t>
            </w:r>
          </w:p>
        </w:tc>
      </w:tr>
    </w:tbl>
    <w:p>
      <w:r>
        <w:t>Exemples :</w:t>
      </w:r>
    </w:p>
    <w:p>
      <w:pPr>
        <w:spacing w:before="80" w:after="80"/>
        <w:ind w:left="283"/>
        <w:shd w:val="clear" w:color="auto" w:fill="F2F2F2"/>
      </w:pPr>
      <w:r>
        <w:rPr>
          <w:rFonts w:ascii="Courier New" w:hAnsi="Courier New"/>
          <w:color w:val="1A1A6C"/>
          <w:sz w:val="17"/>
        </w:rPr>
        <w:t># ETL complet</w:t>
        <w:br/>
        <w:t>python run_fact.py --fact contrainte</w:t>
        <w:br/>
        <w:br/>
        <w:t># Extraction avec lot de 100 000 lignes</w:t>
        <w:br/>
        <w:t>python run_fact.py --fact grh_absence --step E --fetch 100000</w:t>
        <w:br/>
        <w:br/>
        <w:t># Chargement sur une date précise</w:t>
        <w:br/>
        <w:t>python run_fact.py --fact contrainte --step L --date 20260301</w:t>
      </w:r>
    </w:p>
    <w:p>
      <w:pPr>
        <w:pStyle w:val="Heading2"/>
      </w:pPr>
      <w:r>
        <w:t>7.3 run_dtm.py – Chargement des Agrégats DTM</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pPr>
              <w:jc w:val="center"/>
            </w:pPr>
            <w:r>
              <w:rPr>
                <w:b/>
                <w:color w:val="FFFFFF"/>
                <w:sz w:val="18"/>
              </w:rPr>
              <w:t>Argument</w:t>
            </w:r>
          </w:p>
        </w:tc>
        <w:tc>
          <w:tcPr>
            <w:tcW w:type="dxa" w:w="3135"/>
            <w:shd w:val="clear" w:color="auto" w:fill="1F3864"/>
          </w:tcPr>
          <w:p>
            <w:pPr>
              <w:jc w:val="center"/>
            </w:pPr>
            <w:r>
              <w:rPr>
                <w:b/>
                <w:color w:val="FFFFFF"/>
                <w:sz w:val="18"/>
              </w:rPr>
              <w:t>Valeurs</w:t>
            </w:r>
          </w:p>
        </w:tc>
        <w:tc>
          <w:tcPr>
            <w:tcW w:type="dxa" w:w="3135"/>
            <w:shd w:val="clear" w:color="auto" w:fill="1F3864"/>
          </w:tcPr>
          <w:p>
            <w:pPr>
              <w:jc w:val="center"/>
            </w:pPr>
            <w:r>
              <w:rPr>
                <w:b/>
                <w:color w:val="FFFFFF"/>
                <w:sz w:val="18"/>
              </w:rPr>
              <w:t>Description</w:t>
            </w:r>
          </w:p>
        </w:tc>
      </w:tr>
      <w:tr>
        <w:tc>
          <w:tcPr>
            <w:tcW w:type="dxa" w:w="3135"/>
            <w:shd w:val="clear" w:color="auto" w:fill="EBF1F9"/>
          </w:tcPr>
          <w:p>
            <w:r>
              <w:rPr>
                <w:sz w:val="17"/>
              </w:rPr>
              <w:t>--dtm</w:t>
            </w:r>
          </w:p>
        </w:tc>
        <w:tc>
          <w:tcPr>
            <w:tcW w:type="dxa" w:w="3135"/>
            <w:shd w:val="clear" w:color="auto" w:fill="EBF1F9"/>
          </w:tcPr>
          <w:p>
            <w:r>
              <w:rPr>
                <w:sz w:val="17"/>
              </w:rPr>
              <w:t>&lt;noms séparés par espace&gt; | (absent)</w:t>
            </w:r>
          </w:p>
        </w:tc>
        <w:tc>
          <w:tcPr>
            <w:tcW w:type="dxa" w:w="3135"/>
            <w:shd w:val="clear" w:color="auto" w:fill="EBF1F9"/>
          </w:tcPr>
          <w:p>
            <w:r>
              <w:rPr>
                <w:sz w:val="17"/>
              </w:rPr>
              <w:t>Tables DTM à charger (défaut : toutes)</w:t>
            </w:r>
          </w:p>
        </w:tc>
      </w:tr>
      <w:tr>
        <w:tc>
          <w:tcPr>
            <w:tcW w:type="dxa" w:w="3135"/>
          </w:tcPr>
          <w:p>
            <w:r>
              <w:rPr>
                <w:sz w:val="17"/>
              </w:rPr>
              <w:t>--date</w:t>
            </w:r>
          </w:p>
        </w:tc>
        <w:tc>
          <w:tcPr>
            <w:tcW w:type="dxa" w:w="3135"/>
          </w:tcPr>
          <w:p>
            <w:r>
              <w:rPr>
                <w:sz w:val="17"/>
              </w:rPr>
              <w:t>YYYYMMDD</w:t>
            </w:r>
          </w:p>
        </w:tc>
        <w:tc>
          <w:tcPr>
            <w:tcW w:type="dxa" w:w="3135"/>
          </w:tcPr>
          <w:p>
            <w:r>
              <w:rPr>
                <w:sz w:val="17"/>
              </w:rPr>
              <w:t>Date de référence pour le CLICHE</w:t>
            </w:r>
          </w:p>
        </w:tc>
      </w:tr>
      <w:tr>
        <w:tc>
          <w:tcPr>
            <w:tcW w:type="dxa" w:w="3135"/>
            <w:shd w:val="clear" w:color="auto" w:fill="EBF1F9"/>
          </w:tcPr>
          <w:p>
            <w:r>
              <w:rPr>
                <w:sz w:val="17"/>
              </w:rPr>
              <w:t>--fetch</w:t>
            </w:r>
          </w:p>
        </w:tc>
        <w:tc>
          <w:tcPr>
            <w:tcW w:type="dxa" w:w="3135"/>
            <w:shd w:val="clear" w:color="auto" w:fill="EBF1F9"/>
          </w:tcPr>
          <w:p>
            <w:r>
              <w:rPr>
                <w:sz w:val="17"/>
              </w:rPr>
              <w:t>entier</w:t>
            </w:r>
          </w:p>
        </w:tc>
        <w:tc>
          <w:tcPr>
            <w:tcW w:type="dxa" w:w="3135"/>
            <w:shd w:val="clear" w:color="auto" w:fill="EBF1F9"/>
          </w:tcPr>
          <w:p>
            <w:r>
              <w:rPr>
                <w:sz w:val="17"/>
              </w:rPr>
              <w:t>Taille des lots (défaut : 100 000)</w:t>
            </w:r>
          </w:p>
        </w:tc>
      </w:tr>
    </w:tbl>
    <w:p>
      <w:r>
        <w:t>Exemples :</w:t>
      </w:r>
    </w:p>
    <w:p>
      <w:pPr>
        <w:spacing w:before="80" w:after="80"/>
        <w:ind w:left="283"/>
        <w:shd w:val="clear" w:color="auto" w:fill="F2F2F2"/>
      </w:pPr>
      <w:r>
        <w:rPr>
          <w:rFonts w:ascii="Courier New" w:hAnsi="Courier New"/>
          <w:color w:val="1A1A6C"/>
          <w:sz w:val="17"/>
        </w:rPr>
        <w:t># Toutes les tables DTM</w:t>
        <w:br/>
        <w:t>python run_dtm.py</w:t>
        <w:br/>
        <w:br/>
        <w:t># Deux tables spécifiques</w:t>
        <w:br/>
        <w:t>python run_dtm.py --dtm cotisations recouvrement</w:t>
        <w:br/>
        <w:br/>
        <w:t># Sur une date précise</w:t>
        <w:br/>
        <w:t>python run_dtm.py --dtm grh_effectif --date 20260301</w:t>
        <w:br/>
        <w:br/>
        <w:t># Taille des lots personnalisée</w:t>
        <w:br/>
        <w:t>python run_dtm.py --fetch 10000</w:t>
      </w:r>
    </w:p>
    <w:p>
      <w:pPr>
        <w:pStyle w:val="Heading1"/>
      </w:pPr>
      <w:r>
        <w:t>8. Identifiant de Snapshot (CLICHE)</w:t>
      </w:r>
    </w:p>
    <w:p>
      <w:r>
        <w:t>Le CLICHE est l'identifiant de snapshot mensuel utilisé pour tracer et partitionner les données dans les tables de faits et DTM.</w:t>
      </w:r>
    </w:p>
    <w:tbl>
      <w:tblPr>
        <w:tblStyle w:val="TableGrid"/>
        <w:tblW w:type="auto" w:w="0"/>
        <w:tblLook w:firstColumn="1" w:firstRow="1" w:lastColumn="0" w:lastRow="0" w:noHBand="0" w:noVBand="1" w:val="04A0"/>
      </w:tblPr>
      <w:tblGrid>
        <w:gridCol w:w="4703"/>
        <w:gridCol w:w="4703"/>
      </w:tblGrid>
      <w:tr>
        <w:tc>
          <w:tcPr>
            <w:tcW w:type="dxa" w:w="4703"/>
            <w:shd w:val="clear" w:color="auto" w:fill="1F3864"/>
          </w:tcPr>
          <w:p>
            <w:pPr>
              <w:jc w:val="center"/>
            </w:pPr>
            <w:r>
              <w:rPr>
                <w:b/>
                <w:color w:val="FFFFFF"/>
                <w:sz w:val="18"/>
              </w:rPr>
              <w:t>Propriété</w:t>
            </w:r>
          </w:p>
        </w:tc>
        <w:tc>
          <w:tcPr>
            <w:tcW w:type="dxa" w:w="4703"/>
            <w:shd w:val="clear" w:color="auto" w:fill="1F3864"/>
          </w:tcPr>
          <w:p>
            <w:pPr>
              <w:jc w:val="center"/>
            </w:pPr>
            <w:r>
              <w:rPr>
                <w:b/>
                <w:color w:val="FFFFFF"/>
                <w:sz w:val="18"/>
              </w:rPr>
              <w:t>Valeur</w:t>
            </w:r>
          </w:p>
        </w:tc>
      </w:tr>
      <w:tr>
        <w:tc>
          <w:tcPr>
            <w:tcW w:type="dxa" w:w="4703"/>
            <w:shd w:val="clear" w:color="auto" w:fill="EBF1F9"/>
          </w:tcPr>
          <w:p>
            <w:r>
              <w:rPr>
                <w:sz w:val="17"/>
              </w:rPr>
              <w:t>Format</w:t>
            </w:r>
          </w:p>
        </w:tc>
        <w:tc>
          <w:tcPr>
            <w:tcW w:type="dxa" w:w="4703"/>
            <w:shd w:val="clear" w:color="auto" w:fill="EBF1F9"/>
          </w:tcPr>
          <w:p>
            <w:r>
              <w:rPr>
                <w:sz w:val="17"/>
              </w:rPr>
              <w:t>MMYYYY  (ex : 032026 pour Mars 2026)</w:t>
            </w:r>
          </w:p>
        </w:tc>
      </w:tr>
      <w:tr>
        <w:tc>
          <w:tcPr>
            <w:tcW w:type="dxa" w:w="4703"/>
          </w:tcPr>
          <w:p>
            <w:r>
              <w:rPr>
                <w:sz w:val="17"/>
              </w:rPr>
              <w:t>Source</w:t>
            </w:r>
          </w:p>
        </w:tc>
        <w:tc>
          <w:tcPr>
            <w:tcW w:type="dxa" w:w="4703"/>
          </w:tcPr>
          <w:p>
            <w:r>
              <w:rPr>
                <w:sz w:val="17"/>
              </w:rPr>
              <w:t>Calculé automatiquement à partir de la date du run</w:t>
            </w:r>
          </w:p>
        </w:tc>
      </w:tr>
      <w:tr>
        <w:tc>
          <w:tcPr>
            <w:tcW w:type="dxa" w:w="4703"/>
            <w:shd w:val="clear" w:color="auto" w:fill="EBF1F9"/>
          </w:tcPr>
          <w:p>
            <w:r>
              <w:rPr>
                <w:sz w:val="17"/>
              </w:rPr>
              <w:t>Usage DWH</w:t>
            </w:r>
          </w:p>
        </w:tc>
        <w:tc>
          <w:tcPr>
            <w:tcW w:type="dxa" w:w="4703"/>
            <w:shd w:val="clear" w:color="auto" w:fill="EBF1F9"/>
          </w:tcPr>
          <w:p>
            <w:r>
              <w:rPr>
                <w:sz w:val="17"/>
              </w:rPr>
              <w:t>Colonne CLICHE dans toutes les tables de faits</w:t>
            </w:r>
          </w:p>
        </w:tc>
      </w:tr>
      <w:tr>
        <w:tc>
          <w:tcPr>
            <w:tcW w:type="dxa" w:w="4703"/>
          </w:tcPr>
          <w:p>
            <w:r>
              <w:rPr>
                <w:sz w:val="17"/>
              </w:rPr>
              <w:t>Usage DTM</w:t>
            </w:r>
          </w:p>
        </w:tc>
        <w:tc>
          <w:tcPr>
            <w:tcW w:type="dxa" w:w="4703"/>
          </w:tcPr>
          <w:p>
            <w:r>
              <w:rPr>
                <w:sz w:val="17"/>
              </w:rPr>
              <w:t>Variable de liaison :1 dans les SQL d'agrégation</w:t>
            </w:r>
          </w:p>
        </w:tc>
      </w:tr>
      <w:tr>
        <w:tc>
          <w:tcPr>
            <w:tcW w:type="dxa" w:w="4703"/>
            <w:shd w:val="clear" w:color="auto" w:fill="EBF1F9"/>
          </w:tcPr>
          <w:p>
            <w:r>
              <w:rPr>
                <w:sz w:val="17"/>
              </w:rPr>
              <w:t>Rechargement</w:t>
            </w:r>
          </w:p>
        </w:tc>
        <w:tc>
          <w:tcPr>
            <w:tcW w:type="dxa" w:w="4703"/>
            <w:shd w:val="clear" w:color="auto" w:fill="EBF1F9"/>
          </w:tcPr>
          <w:p>
            <w:r>
              <w:rPr>
                <w:sz w:val="17"/>
              </w:rPr>
              <w:t>DELETE WHERE CLICHE = :1 avant INSERT – replay idempotent</w:t>
            </w:r>
          </w:p>
        </w:tc>
      </w:tr>
    </w:tbl>
    <w:p>
      <w:r>
        <w:t>Cette conception permet de rejouer un mois entier sans effacer les autres snapshots, et facilite les corrections rétroactives.</w:t>
      </w:r>
    </w:p>
    <w:p>
      <w:pPr>
        <w:pStyle w:val="Heading1"/>
      </w:pPr>
      <w:r>
        <w:t>9. Stratégies de Chargement</w:t>
      </w:r>
    </w:p>
    <w:p>
      <w:pPr>
        <w:pStyle w:val="Heading2"/>
      </w:pPr>
      <w:r>
        <w:t>9.1 MERGE – Dimensions</w:t>
      </w:r>
    </w:p>
    <w:p>
      <w:r>
        <w:t>Stratégie par défaut pour les dimensions. Utilise l'instruction MERGE Oracle sur les colonnes clés (key_cols). Met à jour les lignes existantes et insère les nouvelles. Les clés de substitution (seq_cols) sont générées via des séquences Oracle uniquement à l'insertion.</w:t>
      </w:r>
    </w:p>
    <w:p>
      <w:pPr>
        <w:pStyle w:val="Heading2"/>
      </w:pPr>
      <w:r>
        <w:t>9.2 MERGE via GTT – Grandes Dimensions</w:t>
      </w:r>
    </w:p>
    <w:p>
      <w:r>
        <w:t>Pour les dimensions volumineuses (&gt; 100 000 lignes), une table temporaire globale (GTT) est utilisée comme intermédiaire. Les données sont d'abord chargées dans la GTT puis fusionnées dans la table cible. Cette approche réduit significativement la pression sur les segments Redo et Undo d'Oracle.</w:t>
      </w:r>
    </w:p>
    <w:p>
      <w:pPr>
        <w:pStyle w:val="Heading2"/>
      </w:pPr>
      <w:r>
        <w:t>9.3 Delete + Insert – Tables de Faits</w:t>
      </w:r>
    </w:p>
    <w:p>
      <w:r>
        <w:t>Stratégie standard pour les tables de faits :</w:t>
      </w:r>
    </w:p>
    <w:p>
      <w:pPr>
        <w:pStyle w:val="ListBullet"/>
      </w:pPr>
      <w:r>
        <w:t>Suppression des données du snapshot courant : DELETE WHERE CLICHE = :1</w:t>
      </w:r>
    </w:p>
    <w:p>
      <w:pPr>
        <w:pStyle w:val="ListBullet"/>
      </w:pPr>
      <w:r>
        <w:t>Insertion des nouvelles données : INSERT /*+ APPEND */</w:t>
      </w:r>
    </w:p>
    <w:p>
      <w:r>
        <w:t>Cette approche garantit l'idempotence : un mois peut être rechargé autant de fois que nécessaire sans risque de doublon.</w:t>
      </w:r>
    </w:p>
    <w:p>
      <w:pPr>
        <w:pStyle w:val="Heading2"/>
      </w:pPr>
      <w:r>
        <w:t>9.4 Archive ODS + Truncate</w:t>
      </w:r>
    </w:p>
    <w:p>
      <w:r>
        <w:t>Stratégie alternative activée lorsque ODS_SCHEMA est défini dans .env. Utilisée pour les très grandes tables de faits :</w:t>
      </w:r>
    </w:p>
    <w:p>
      <w:pPr>
        <w:pStyle w:val="ListBullet"/>
      </w:pPr>
      <w:r>
        <w:t>1. Copie des données dans le schéma ODS (archive longue durée)</w:t>
      </w:r>
    </w:p>
    <w:p>
      <w:pPr>
        <w:pStyle w:val="ListBullet"/>
      </w:pPr>
      <w:r>
        <w:t>2. TRUNCATE de la table DWH (nettoyage complet)</w:t>
      </w:r>
    </w:p>
    <w:p>
      <w:pPr>
        <w:pStyle w:val="ListBullet"/>
      </w:pPr>
      <w:r>
        <w:t>3. INSERT des nouvelles données</w:t>
      </w:r>
    </w:p>
    <w:p>
      <w:pPr>
        <w:pStyle w:val="Heading1"/>
      </w:pPr>
      <w:r>
        <w:t>10. Gestion des Types Oracle / Pandas</w:t>
      </w:r>
    </w:p>
    <w:p>
      <w:r>
        <w:t>La conversion entre les types Oracle et Pandas est critique pour éviter les erreurs d'insertion. Le pipeline applique les règles suivantes :</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pPr>
              <w:jc w:val="center"/>
            </w:pPr>
            <w:r>
              <w:rPr>
                <w:b/>
                <w:color w:val="FFFFFF"/>
                <w:sz w:val="18"/>
              </w:rPr>
              <w:t>Type Oracle</w:t>
            </w:r>
          </w:p>
        </w:tc>
        <w:tc>
          <w:tcPr>
            <w:tcW w:type="dxa" w:w="3135"/>
            <w:shd w:val="clear" w:color="auto" w:fill="1F3864"/>
          </w:tcPr>
          <w:p>
            <w:pPr>
              <w:jc w:val="center"/>
            </w:pPr>
            <w:r>
              <w:rPr>
                <w:b/>
                <w:color w:val="FFFFFF"/>
                <w:sz w:val="18"/>
              </w:rPr>
              <w:t>Type Pandas résultant</w:t>
            </w:r>
          </w:p>
        </w:tc>
        <w:tc>
          <w:tcPr>
            <w:tcW w:type="dxa" w:w="3135"/>
            <w:shd w:val="clear" w:color="auto" w:fill="1F3864"/>
          </w:tcPr>
          <w:p>
            <w:pPr>
              <w:jc w:val="center"/>
            </w:pPr>
            <w:r>
              <w:rPr>
                <w:b/>
                <w:color w:val="FFFFFF"/>
                <w:sz w:val="18"/>
              </w:rPr>
              <w:t>Note</w:t>
            </w:r>
          </w:p>
        </w:tc>
      </w:tr>
      <w:tr>
        <w:tc>
          <w:tcPr>
            <w:tcW w:type="dxa" w:w="3135"/>
            <w:shd w:val="clear" w:color="auto" w:fill="EBF1F9"/>
          </w:tcPr>
          <w:p>
            <w:r>
              <w:rPr>
                <w:sz w:val="17"/>
              </w:rPr>
              <w:t>NUMBER(p,0)</w:t>
            </w:r>
          </w:p>
        </w:tc>
        <w:tc>
          <w:tcPr>
            <w:tcW w:type="dxa" w:w="3135"/>
            <w:shd w:val="clear" w:color="auto" w:fill="EBF1F9"/>
          </w:tcPr>
          <w:p>
            <w:r>
              <w:rPr>
                <w:sz w:val="17"/>
              </w:rPr>
              <w:t>Int64 (nullable)</w:t>
            </w:r>
          </w:p>
        </w:tc>
        <w:tc>
          <w:tcPr>
            <w:tcW w:type="dxa" w:w="3135"/>
            <w:shd w:val="clear" w:color="auto" w:fill="EBF1F9"/>
          </w:tcPr>
          <w:p>
            <w:r>
              <w:rPr>
                <w:sz w:val="17"/>
              </w:rPr>
              <w:t>Entier avec NULL → utilise pd.Int64Dtype()</w:t>
            </w:r>
          </w:p>
        </w:tc>
      </w:tr>
      <w:tr>
        <w:tc>
          <w:tcPr>
            <w:tcW w:type="dxa" w:w="3135"/>
          </w:tcPr>
          <w:p>
            <w:r>
              <w:rPr>
                <w:sz w:val="17"/>
              </w:rPr>
              <w:t>NUMBER(p,s&gt;0)</w:t>
            </w:r>
          </w:p>
        </w:tc>
        <w:tc>
          <w:tcPr>
            <w:tcW w:type="dxa" w:w="3135"/>
          </w:tcPr>
          <w:p>
            <w:r>
              <w:rPr>
                <w:sz w:val="17"/>
              </w:rPr>
              <w:t>float64</w:t>
            </w:r>
          </w:p>
        </w:tc>
        <w:tc>
          <w:tcPr>
            <w:tcW w:type="dxa" w:w="3135"/>
          </w:tcPr>
          <w:p>
            <w:r>
              <w:rPr>
                <w:sz w:val="17"/>
              </w:rPr>
              <w:t>Décimal</w:t>
            </w:r>
          </w:p>
        </w:tc>
      </w:tr>
      <w:tr>
        <w:tc>
          <w:tcPr>
            <w:tcW w:type="dxa" w:w="3135"/>
            <w:shd w:val="clear" w:color="auto" w:fill="EBF1F9"/>
          </w:tcPr>
          <w:p>
            <w:r>
              <w:rPr>
                <w:sz w:val="17"/>
              </w:rPr>
              <w:t>DATE / TIMESTAMP</w:t>
            </w:r>
          </w:p>
        </w:tc>
        <w:tc>
          <w:tcPr>
            <w:tcW w:type="dxa" w:w="3135"/>
            <w:shd w:val="clear" w:color="auto" w:fill="EBF1F9"/>
          </w:tcPr>
          <w:p>
            <w:r>
              <w:rPr>
                <w:sz w:val="17"/>
              </w:rPr>
              <w:t>datetime64[ns]</w:t>
            </w:r>
          </w:p>
        </w:tc>
        <w:tc>
          <w:tcPr>
            <w:tcW w:type="dxa" w:w="3135"/>
            <w:shd w:val="clear" w:color="auto" w:fill="EBF1F9"/>
          </w:tcPr>
          <w:p>
            <w:r>
              <w:rPr>
                <w:sz w:val="17"/>
              </w:rPr>
              <w:t>Conversion automatique</w:t>
            </w:r>
          </w:p>
        </w:tc>
      </w:tr>
      <w:tr>
        <w:tc>
          <w:tcPr>
            <w:tcW w:type="dxa" w:w="3135"/>
          </w:tcPr>
          <w:p>
            <w:r>
              <w:rPr>
                <w:sz w:val="17"/>
              </w:rPr>
              <w:t>VARCHAR2 / CHAR</w:t>
            </w:r>
          </w:p>
        </w:tc>
        <w:tc>
          <w:tcPr>
            <w:tcW w:type="dxa" w:w="3135"/>
          </w:tcPr>
          <w:p>
            <w:r>
              <w:rPr>
                <w:sz w:val="17"/>
              </w:rPr>
              <w:t>object (str)</w:t>
            </w:r>
          </w:p>
        </w:tc>
        <w:tc>
          <w:tcPr>
            <w:tcW w:type="dxa" w:w="3135"/>
          </w:tcPr>
          <w:p>
            <w:r>
              <w:rPr>
                <w:sz w:val="17"/>
              </w:rPr>
              <w:t>Chaîne de caractères</w:t>
            </w:r>
          </w:p>
        </w:tc>
      </w:tr>
      <w:tr>
        <w:tc>
          <w:tcPr>
            <w:tcW w:type="dxa" w:w="3135"/>
            <w:shd w:val="clear" w:color="auto" w:fill="EBF1F9"/>
          </w:tcPr>
          <w:p>
            <w:r>
              <w:rPr>
                <w:sz w:val="17"/>
              </w:rPr>
              <w:t>NULL Oracle</w:t>
            </w:r>
          </w:p>
        </w:tc>
        <w:tc>
          <w:tcPr>
            <w:tcW w:type="dxa" w:w="3135"/>
            <w:shd w:val="clear" w:color="auto" w:fill="EBF1F9"/>
          </w:tcPr>
          <w:p>
            <w:r>
              <w:rPr>
                <w:sz w:val="17"/>
              </w:rPr>
              <w:t>pd.NA / pd.NaT / NaN</w:t>
            </w:r>
          </w:p>
        </w:tc>
        <w:tc>
          <w:tcPr>
            <w:tcW w:type="dxa" w:w="3135"/>
            <w:shd w:val="clear" w:color="auto" w:fill="EBF1F9"/>
          </w:tcPr>
          <w:p>
            <w:r>
              <w:rPr>
                <w:sz w:val="17"/>
              </w:rPr>
              <w:t>Géré avant l'INSERT Oracle</w:t>
            </w:r>
          </w:p>
        </w:tc>
      </w:tr>
      <w:tr>
        <w:tc>
          <w:tcPr>
            <w:tcW w:type="dxa" w:w="3135"/>
          </w:tcPr>
          <w:p>
            <w:r>
              <w:rPr>
                <w:sz w:val="17"/>
              </w:rPr>
              <w:t>decimal.Decimal</w:t>
            </w:r>
          </w:p>
        </w:tc>
        <w:tc>
          <w:tcPr>
            <w:tcW w:type="dxa" w:w="3135"/>
          </w:tcPr>
          <w:p>
            <w:r>
              <w:rPr>
                <w:sz w:val="17"/>
              </w:rPr>
              <w:t>float64</w:t>
            </w:r>
          </w:p>
        </w:tc>
        <w:tc>
          <w:tcPr>
            <w:tcW w:type="dxa" w:w="3135"/>
          </w:tcPr>
          <w:p>
            <w:r>
              <w:rPr>
                <w:sz w:val="17"/>
              </w:rPr>
              <w:t>Converti pour compatibilité Pandas</w:t>
            </w:r>
          </w:p>
        </w:tc>
      </w:tr>
    </w:tbl>
    <w:p>
      <w:r>
        <w:t>La cohérence de schéma entre les lots (batches) est assurée par un cast explicite vers le schéma du premier batch, évitant les dérives de type lorsque des NULL apparaissent dans un lot ultérieur.</w:t>
      </w:r>
    </w:p>
    <w:p>
      <w:pPr>
        <w:pStyle w:val="Heading1"/>
      </w:pPr>
      <w:r>
        <w:t>11. Staging Parquet</w:t>
      </w:r>
    </w:p>
    <w:p>
      <w:r>
        <w:t>Le staging Parquet est utilisé en mode ETL granulaire (étapes E / T / L séparées). Les fichiers sont nommés selon la convention suivante :</w:t>
      </w:r>
    </w:p>
    <w:p>
      <w:pPr>
        <w:spacing w:before="80" w:after="80"/>
        <w:ind w:left="283"/>
        <w:shd w:val="clear" w:color="auto" w:fill="F2F2F2"/>
      </w:pPr>
      <w:r>
        <w:rPr>
          <w:rFonts w:ascii="Courier New" w:hAnsi="Courier New"/>
          <w:color w:val="1A1A6C"/>
          <w:sz w:val="17"/>
        </w:rPr>
        <w:t>staging/</w:t>
        <w:br/>
        <w:t>├── raw/          ← fichiers extraits de la source</w:t>
        <w:br/>
        <w:t>│   └── {nom}_{YYYYMMDD}.parquet</w:t>
        <w:br/>
        <w:t>└── transformed/  ← fichiers après transformation</w:t>
        <w:br/>
        <w:t xml:space="preserve">    └── {nom}_{YYYYMMDD}.parquet</w:t>
      </w:r>
    </w:p>
    <w:p>
      <w:r>
        <w:t>L'écriture est incrémentale (PyArrow ParquetWriter) : les données sont écrites lot par lot sans charger l'intégralité en mémoire. Le schéma est figé sur le premier lot pour garantir la cohérence.</w:t>
      </w:r>
    </w:p>
    <w:p>
      <w:pPr>
        <w:pStyle w:val="Heading1"/>
      </w:pPr>
      <w:r>
        <w:t>12. Logging et Observabilité</w:t>
      </w:r>
    </w:p>
    <w:p>
      <w:r>
        <w:t>Le module shared/configs/log_setup.py configure le système de logs :</w:t>
      </w:r>
    </w:p>
    <w:tbl>
      <w:tblPr>
        <w:tblStyle w:val="TableGrid"/>
        <w:tblW w:type="auto" w:w="0"/>
        <w:tblLook w:firstColumn="1" w:firstRow="1" w:lastColumn="0" w:lastRow="0" w:noHBand="0" w:noVBand="1" w:val="04A0"/>
      </w:tblPr>
      <w:tblGrid>
        <w:gridCol w:w="4703"/>
        <w:gridCol w:w="4703"/>
      </w:tblGrid>
      <w:tr>
        <w:tc>
          <w:tcPr>
            <w:tcW w:type="dxa" w:w="4703"/>
            <w:shd w:val="clear" w:color="auto" w:fill="1F3864"/>
          </w:tcPr>
          <w:p>
            <w:pPr>
              <w:jc w:val="center"/>
            </w:pPr>
            <w:r>
              <w:rPr>
                <w:b/>
                <w:color w:val="FFFFFF"/>
                <w:sz w:val="18"/>
              </w:rPr>
              <w:t>Niveau</w:t>
            </w:r>
          </w:p>
        </w:tc>
        <w:tc>
          <w:tcPr>
            <w:tcW w:type="dxa" w:w="4703"/>
            <w:shd w:val="clear" w:color="auto" w:fill="1F3864"/>
          </w:tcPr>
          <w:p>
            <w:pPr>
              <w:jc w:val="center"/>
            </w:pPr>
            <w:r>
              <w:rPr>
                <w:b/>
                <w:color w:val="FFFFFF"/>
                <w:sz w:val="18"/>
              </w:rPr>
              <w:t>Usage</w:t>
            </w:r>
          </w:p>
        </w:tc>
      </w:tr>
      <w:tr>
        <w:tc>
          <w:tcPr>
            <w:tcW w:type="dxa" w:w="4703"/>
            <w:shd w:val="clear" w:color="auto" w:fill="EBF1F9"/>
          </w:tcPr>
          <w:p>
            <w:r>
              <w:rPr>
                <w:sz w:val="17"/>
              </w:rPr>
              <w:t>DEBUG</w:t>
            </w:r>
          </w:p>
        </w:tc>
        <w:tc>
          <w:tcPr>
            <w:tcW w:type="dxa" w:w="4703"/>
            <w:shd w:val="clear" w:color="auto" w:fill="EBF1F9"/>
          </w:tcPr>
          <w:p>
            <w:r>
              <w:rPr>
                <w:sz w:val="17"/>
              </w:rPr>
              <w:t>Détails internes (requêtes SQL, compteurs de lots)</w:t>
            </w:r>
          </w:p>
        </w:tc>
      </w:tr>
      <w:tr>
        <w:tc>
          <w:tcPr>
            <w:tcW w:type="dxa" w:w="4703"/>
          </w:tcPr>
          <w:p>
            <w:r>
              <w:rPr>
                <w:sz w:val="17"/>
              </w:rPr>
              <w:t>INFO</w:t>
            </w:r>
          </w:p>
        </w:tc>
        <w:tc>
          <w:tcPr>
            <w:tcW w:type="dxa" w:w="4703"/>
          </w:tcPr>
          <w:p>
            <w:r>
              <w:rPr>
                <w:sz w:val="17"/>
              </w:rPr>
              <w:t>Progression normale : début/fin de chaque table, compteur de lignes</w:t>
            </w:r>
          </w:p>
        </w:tc>
      </w:tr>
      <w:tr>
        <w:tc>
          <w:tcPr>
            <w:tcW w:type="dxa" w:w="4703"/>
            <w:shd w:val="clear" w:color="auto" w:fill="EBF1F9"/>
          </w:tcPr>
          <w:p>
            <w:r>
              <w:rPr>
                <w:sz w:val="17"/>
              </w:rPr>
              <w:t>WARNING</w:t>
            </w:r>
          </w:p>
        </w:tc>
        <w:tc>
          <w:tcPr>
            <w:tcW w:type="dxa" w:w="4703"/>
            <w:shd w:val="clear" w:color="auto" w:fill="EBF1F9"/>
          </w:tcPr>
          <w:p>
            <w:r>
              <w:rPr>
                <w:sz w:val="17"/>
              </w:rPr>
              <w:t>Situations inattendues mais non bloquantes (ex : table vide)</w:t>
            </w:r>
          </w:p>
        </w:tc>
      </w:tr>
      <w:tr>
        <w:tc>
          <w:tcPr>
            <w:tcW w:type="dxa" w:w="4703"/>
          </w:tcPr>
          <w:p>
            <w:r>
              <w:rPr>
                <w:sz w:val="17"/>
              </w:rPr>
              <w:t>ERROR</w:t>
            </w:r>
          </w:p>
        </w:tc>
        <w:tc>
          <w:tcPr>
            <w:tcW w:type="dxa" w:w="4703"/>
          </w:tcPr>
          <w:p>
            <w:r>
              <w:rPr>
                <w:sz w:val="17"/>
              </w:rPr>
              <w:t>Erreurs récupérées (ex : perte de connexion transiente)</w:t>
            </w:r>
          </w:p>
        </w:tc>
      </w:tr>
      <w:tr>
        <w:tc>
          <w:tcPr>
            <w:tcW w:type="dxa" w:w="4703"/>
            <w:shd w:val="clear" w:color="auto" w:fill="EBF1F9"/>
          </w:tcPr>
          <w:p>
            <w:r>
              <w:rPr>
                <w:sz w:val="17"/>
              </w:rPr>
              <w:t>CRITICAL</w:t>
            </w:r>
          </w:p>
        </w:tc>
        <w:tc>
          <w:tcPr>
            <w:tcW w:type="dxa" w:w="4703"/>
            <w:shd w:val="clear" w:color="auto" w:fill="EBF1F9"/>
          </w:tcPr>
          <w:p>
            <w:r>
              <w:rPr>
                <w:sz w:val="17"/>
              </w:rPr>
              <w:t>Erreurs fatales entraînant l'arrêt du processus</w:t>
            </w:r>
          </w:p>
        </w:tc>
      </w:tr>
    </w:tbl>
    <w:p>
      <w:r>
        <w:t>Les logs sont écrits simultanément vers la console (avec couleurs via colorlog) et vers un fichier dans le répertoire logs/.</w:t>
      </w:r>
    </w:p>
    <w:p>
      <w:pPr>
        <w:pStyle w:val="Heading1"/>
      </w:pPr>
      <w:r>
        <w:t>13. Sécurité et Bonnes Pratiques</w:t>
      </w:r>
    </w:p>
    <w:p>
      <w:pPr>
        <w:pStyle w:val="ListBullet"/>
      </w:pPr>
      <w:r>
        <w:t>Les credentials de base de données sont stockés uniquement dans .env, jamais dans le code source ni dans le dépôt git (.gitignore).</w:t>
      </w:r>
    </w:p>
    <w:p>
      <w:pPr>
        <w:pStyle w:val="ListBullet"/>
      </w:pPr>
      <w:r>
        <w:t>Le compte source (user_dwh) dispose uniquement des droits SELECT sur les schémas métier. Aucun droit d'écriture sur la source.</w:t>
      </w:r>
    </w:p>
    <w:p>
      <w:pPr>
        <w:pStyle w:val="ListBullet"/>
      </w:pPr>
      <w:r>
        <w:t>Toutes les requêtes paramétrées utilisent des bind variables Oracle (:1, :2, …) pour prévenir les injections SQL.</w:t>
      </w:r>
    </w:p>
    <w:p>
      <w:pPr>
        <w:pStyle w:val="ListBullet"/>
      </w:pPr>
      <w:r>
        <w:t>Le mode GTT et le streaming évitent de charger des jeux de données complets en mémoire, réduisant les risques d'exposition de données sensibles.</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