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Quarterly Operations Review</w:t>
      </w:r>
    </w:p>
    <w:p>
      <w:pPr>
        <w:pStyle w:val="Heading2"/>
      </w:pPr>
      <w:r>
        <w:t>Summary</w:t>
      </w:r>
    </w:p>
    <w:p>
      <w:r>
        <w:t>Revenue grew across every region in Q2 2026.</w:t>
      </w:r>
    </w:p>
    <w:p>
      <w:pPr>
        <w:pStyle w:val="Heading2"/>
      </w:pPr>
      <w:r>
        <w:t>Regional detail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Region</w:t>
            </w:r>
          </w:p>
        </w:tc>
        <w:tc>
          <w:tcPr>
            <w:tcW w:type="dxa" w:w="2880"/>
          </w:tcPr>
          <w:p>
            <w:r>
              <w:t>Units</w:t>
            </w:r>
          </w:p>
        </w:tc>
        <w:tc>
          <w:tcPr>
            <w:tcW w:type="dxa" w:w="2880"/>
          </w:tcPr>
          <w:p>
            <w:r>
              <w:t>Value</w:t>
            </w:r>
          </w:p>
        </w:tc>
      </w:tr>
      <w:tr>
        <w:tc>
          <w:tcPr>
            <w:tcW w:type="dxa" w:w="2880"/>
          </w:tcPr>
          <w:p>
            <w:r>
              <w:t>EMEA</w:t>
            </w:r>
          </w:p>
        </w:tc>
        <w:tc>
          <w:tcPr>
            <w:tcW w:type="dxa" w:w="2880"/>
          </w:tcPr>
          <w:p>
            <w:r>
              <w:t>1310</w:t>
            </w:r>
          </w:p>
        </w:tc>
        <w:tc>
          <w:tcPr>
            <w:tcW w:type="dxa" w:w="2880"/>
          </w:tcPr>
          <w:p>
            <w:r>
              <w:t>19650</w:t>
            </w:r>
          </w:p>
        </w:tc>
      </w:tr>
      <w:tr>
        <w:tc>
          <w:tcPr>
            <w:tcW w:type="dxa" w:w="2880"/>
          </w:tcPr>
          <w:p>
            <w:r>
              <w:t>APAC</w:t>
            </w:r>
          </w:p>
        </w:tc>
        <w:tc>
          <w:tcPr>
            <w:tcW w:type="dxa" w:w="2880"/>
          </w:tcPr>
          <w:p>
            <w:r>
              <w:t>970</w:t>
            </w:r>
          </w:p>
        </w:tc>
        <w:tc>
          <w:tcPr>
            <w:tcW w:type="dxa" w:w="2880"/>
          </w:tcPr>
          <w:p>
            <w:r>
              <w:t>14550</w:t>
            </w:r>
          </w:p>
        </w:tc>
      </w:tr>
      <w:tr>
        <w:tc>
          <w:tcPr>
            <w:tcW w:type="dxa" w:w="2880"/>
          </w:tcPr>
          <w:p>
            <w:r>
              <w:t>AMER</w:t>
            </w:r>
          </w:p>
        </w:tc>
        <w:tc>
          <w:tcPr>
            <w:tcW w:type="dxa" w:w="2880"/>
          </w:tcPr>
          <w:p>
            <w:r>
              <w:t>2510</w:t>
            </w:r>
          </w:p>
        </w:tc>
        <w:tc>
          <w:tcPr>
            <w:tcW w:type="dxa" w:w="2880"/>
          </w:tcPr>
          <w:p>
            <w:r>
              <w:t>50200</w:t>
            </w:r>
          </w:p>
        </w:tc>
      </w:tr>
      <w:tr>
        <w:tc>
          <w:tcPr>
            <w:tcW w:type="dxa" w:w="5760"/>
            <w:gridSpan w:val="2"/>
          </w:tcPr>
          <w:p>
            <w:r>
              <w:t>Total</w:t>
            </w:r>
          </w:p>
        </w:tc>
        <w:tc>
          <w:tcPr>
            <w:tcW w:type="dxa" w:w="2880"/>
          </w:tcPr>
          <w:p>
            <w:r>
              <w:t>84400</w:t>
            </w:r>
          </w:p>
        </w:tc>
      </w:tr>
    </w:tbl>
    <w:p>
      <w:pPr>
        <w:pStyle w:val="Heading2"/>
      </w:pPr>
      <w:r>
        <w:t>Action items</w:t>
      </w:r>
    </w:p>
    <w:p>
      <w:pPr>
        <w:pStyle w:val="ListBullet"/>
      </w:pPr>
      <w:r>
        <w:t>Expand APAC warehouse</w:t>
      </w:r>
    </w:p>
    <w:p>
      <w:pPr>
        <w:pStyle w:val="ListBullet"/>
      </w:pPr>
      <w:r>
        <w:t>Renegotiate EMEA freight</w:t>
      </w:r>
    </w:p>
    <w:p>
      <w:pPr>
        <w:pStyle w:val="ListBullet"/>
      </w:pPr>
      <w:r>
        <w:t>Pilot AMER same-day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