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212080" cy="3053953"/>
            <wp:docPr id="1" name="Picture 1"/>
            <wp:cNvGraphicFramePr>
              <a:graphicFrameLocks noChangeAspect="1"/>
            </wp:cNvGraphicFramePr>
            <a:graphic>
              <a:graphicData uri="http://schemas.openxmlformats.org/drawingml/2006/picture">
                <pic:pic>
                  <pic:nvPicPr>
                    <pic:cNvPr id="0" name="image(20261014-114934).png"/>
                    <pic:cNvPicPr/>
                  </pic:nvPicPr>
                  <pic:blipFill>
                    <a:blip r:embed="rId10"/>
                    <a:stretch>
                      <a:fillRect/>
                    </a:stretch>
                  </pic:blipFill>
                  <pic:spPr>
                    <a:xfrm>
                      <a:off x="0" y="0"/>
                      <a:ext cx="5212080" cy="3053953"/>
                    </a:xfrm>
                    <a:prstGeom prst="rect"/>
                  </pic:spPr>
                </pic:pic>
              </a:graphicData>
            </a:graphic>
          </wp:inline>
        </w:drawing>
      </w:r>
    </w:p>
    <w:p>
      <w:pPr>
        <w:pStyle w:val="Title"/>
      </w:pPr>
      <w:r>
        <w:t>DATASET &amp; EXPLORATORY</w:t>
        <w:br/>
        <w:t>DATA ANALYSIS REPORT</w:t>
      </w:r>
    </w:p>
    <w:p>
      <w:pPr>
        <w:pStyle w:val="Subtitle"/>
      </w:pPr>
      <w:r>
        <w:rPr>
          <w:b w:val="0"/>
        </w:rPr>
        <w:t>Multi-Task Deep Neural Network for Emergency Message Priority and Semantic-Loss Tolerance Prediction in UAV Networks</w:t>
      </w:r>
    </w:p>
    <w:p>
      <w:r>
        <w:rPr>
          <w:b w:val="0"/>
        </w:rPr>
        <w:t>B.Tech Project Submission  |  Academic Year 2026–27</w:t>
      </w:r>
    </w:p>
    <w:p>
      <w:r>
        <w:rPr>
          <w:b w:val="0"/>
        </w:rPr>
        <w:t>Prepared by: T. Sree Chandana • R. Sameera Reddy • K. Joshita</w:t>
      </w:r>
    </w:p>
    <w:p>
      <w:r>
        <w:t>Faculty Guide: Dr. N Lava Prasad, Assistant Professor, ECE</w:t>
      </w:r>
    </w:p>
    <w:p>
      <w:pPr>
        <w:pStyle w:val="Heading2"/>
      </w:pPr>
      <w:r>
        <w:t>DATA INTEGRITY NOTE</w:t>
      </w:r>
    </w:p>
    <w:p>
      <w:r>
        <w:rPr>
          <w:b w:val="0"/>
        </w:rPr>
        <w:t>This report describes the research FANET Scenario 1 file used in the current Colab implementation (12,339 × 25), not the separate 5,000-row synthetic demonstration CSV. Descriptive statistics below are based on previously recorded Scenario 1 output. The original CSV was not attached here, so charts requiring raw records are not fabricated.</w:t>
      </w:r>
    </w:p>
    <w:p>
      <w:pPr>
        <w:pStyle w:val="Heading1"/>
      </w:pPr>
      <w:r>
        <w:t>01  Executive Summary</w:t>
      </w:r>
    </w:p>
    <w:p>
      <w:r>
        <w:rPr>
          <w:b w:val="0"/>
        </w:rPr>
        <w:t>The study investigates UAV network measurements as inputs to a supervised multi-task deep neural network (MT-DNN). Exploratory data analysis (EDA) examines data completeness, numeric ranges, network stability and signal quality before model training. Two project-defined proxy targets are created from link lifetime and SNR; these targets are not original emergency-message annotations.</w:t>
      </w:r>
    </w:p>
    <w:p>
      <w:pPr>
        <w:pStyle w:val="Heading1"/>
      </w:pPr>
      <w:r>
        <w:t>02  Dataset Identification</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8"/>
              </w:rPr>
              <w:t>Item</w:t>
            </w:r>
          </w:p>
        </w:tc>
        <w:tc>
          <w:tcPr>
            <w:tcW w:type="dxa" w:w="4896"/>
            <w:vAlign w:val="center"/>
          </w:tcPr>
          <w:p>
            <w:pPr>
              <w:spacing w:after="40"/>
            </w:pPr>
            <w:r>
              <w:rPr>
                <w:sz w:val="18"/>
              </w:rPr>
              <w:t>Verified project detail</w:t>
            </w:r>
          </w:p>
        </w:tc>
      </w:tr>
      <w:tr>
        <w:tc>
          <w:tcPr>
            <w:tcW w:type="dxa" w:w="4896"/>
            <w:vAlign w:val="center"/>
          </w:tcPr>
          <w:p>
            <w:pPr>
              <w:spacing w:after="40"/>
            </w:pPr>
            <w:r>
              <w:rPr>
                <w:sz w:val="18"/>
              </w:rPr>
              <w:t>Dataset</w:t>
            </w:r>
          </w:p>
        </w:tc>
        <w:tc>
          <w:tcPr>
            <w:tcW w:type="dxa" w:w="4896"/>
            <w:vAlign w:val="center"/>
          </w:tcPr>
          <w:p>
            <w:pPr>
              <w:spacing w:after="40"/>
            </w:pPr>
            <w:r>
              <w:rPr>
                <w:sz w:val="18"/>
              </w:rPr>
              <w:t>FANET Dataset: UAV Communication Scenarios in NS-3.40</w:t>
            </w:r>
          </w:p>
        </w:tc>
      </w:tr>
      <w:tr>
        <w:tc>
          <w:tcPr>
            <w:tcW w:type="dxa" w:w="4896"/>
            <w:vAlign w:val="center"/>
          </w:tcPr>
          <w:p>
            <w:pPr>
              <w:spacing w:after="40"/>
            </w:pPr>
            <w:r>
              <w:rPr>
                <w:sz w:val="18"/>
              </w:rPr>
              <w:t>Repository</w:t>
            </w:r>
          </w:p>
        </w:tc>
        <w:tc>
          <w:tcPr>
            <w:tcW w:type="dxa" w:w="4896"/>
            <w:vAlign w:val="center"/>
          </w:tcPr>
          <w:p>
            <w:pPr>
              <w:spacing w:after="40"/>
            </w:pPr>
            <w:r>
              <w:rPr>
                <w:sz w:val="18"/>
              </w:rPr>
              <w:t>Zenodo — record 19373220</w:t>
            </w:r>
          </w:p>
        </w:tc>
      </w:tr>
      <w:tr>
        <w:tc>
          <w:tcPr>
            <w:tcW w:type="dxa" w:w="4896"/>
            <w:vAlign w:val="center"/>
          </w:tcPr>
          <w:p>
            <w:pPr>
              <w:spacing w:after="40"/>
            </w:pPr>
            <w:r>
              <w:rPr>
                <w:sz w:val="18"/>
              </w:rPr>
              <w:t>Selected file</w:t>
            </w:r>
          </w:p>
        </w:tc>
        <w:tc>
          <w:tcPr>
            <w:tcW w:type="dxa" w:w="4896"/>
            <w:vAlign w:val="center"/>
          </w:tcPr>
          <w:p>
            <w:pPr>
              <w:spacing w:after="40"/>
            </w:pPr>
            <w:r>
              <w:rPr>
                <w:sz w:val="18"/>
              </w:rPr>
              <w:t>Example_of_ML_ready/Link_Stability_For_ML_Scenario1.csv</w:t>
            </w:r>
          </w:p>
        </w:tc>
      </w:tr>
      <w:tr>
        <w:tc>
          <w:tcPr>
            <w:tcW w:type="dxa" w:w="4896"/>
            <w:vAlign w:val="center"/>
          </w:tcPr>
          <w:p>
            <w:pPr>
              <w:spacing w:after="40"/>
            </w:pPr>
            <w:r>
              <w:rPr>
                <w:sz w:val="18"/>
              </w:rPr>
              <w:t>Observations</w:t>
            </w:r>
          </w:p>
        </w:tc>
        <w:tc>
          <w:tcPr>
            <w:tcW w:type="dxa" w:w="4896"/>
            <w:vAlign w:val="center"/>
          </w:tcPr>
          <w:p>
            <w:pPr>
              <w:spacing w:after="40"/>
            </w:pPr>
            <w:r>
              <w:rPr>
                <w:sz w:val="18"/>
              </w:rPr>
              <w:t>12,339</w:t>
            </w:r>
          </w:p>
        </w:tc>
      </w:tr>
      <w:tr>
        <w:tc>
          <w:tcPr>
            <w:tcW w:type="dxa" w:w="4896"/>
            <w:vAlign w:val="center"/>
          </w:tcPr>
          <w:p>
            <w:pPr>
              <w:spacing w:after="40"/>
            </w:pPr>
            <w:r>
              <w:rPr>
                <w:sz w:val="18"/>
              </w:rPr>
              <w:t>Original columns</w:t>
            </w:r>
          </w:p>
        </w:tc>
        <w:tc>
          <w:tcPr>
            <w:tcW w:type="dxa" w:w="4896"/>
            <w:vAlign w:val="center"/>
          </w:tcPr>
          <w:p>
            <w:pPr>
              <w:spacing w:after="40"/>
            </w:pPr>
            <w:r>
              <w:rPr>
                <w:sz w:val="18"/>
              </w:rPr>
              <w:t>25</w:t>
            </w:r>
          </w:p>
        </w:tc>
      </w:tr>
      <w:tr>
        <w:tc>
          <w:tcPr>
            <w:tcW w:type="dxa" w:w="4896"/>
            <w:vAlign w:val="center"/>
          </w:tcPr>
          <w:p>
            <w:pPr>
              <w:spacing w:after="40"/>
            </w:pPr>
            <w:r>
              <w:rPr>
                <w:sz w:val="18"/>
              </w:rPr>
              <w:t>Missing entries</w:t>
            </w:r>
          </w:p>
        </w:tc>
        <w:tc>
          <w:tcPr>
            <w:tcW w:type="dxa" w:w="4896"/>
            <w:vAlign w:val="center"/>
          </w:tcPr>
          <w:p>
            <w:pPr>
              <w:spacing w:after="40"/>
            </w:pPr>
            <w:r>
              <w:rPr>
                <w:sz w:val="18"/>
              </w:rPr>
              <w:t>0 across reported columns</w:t>
            </w:r>
          </w:p>
        </w:tc>
      </w:tr>
      <w:tr>
        <w:tc>
          <w:tcPr>
            <w:tcW w:type="dxa" w:w="4896"/>
            <w:vAlign w:val="center"/>
          </w:tcPr>
          <w:p>
            <w:pPr>
              <w:spacing w:after="40"/>
            </w:pPr>
            <w:r>
              <w:rPr>
                <w:sz w:val="18"/>
              </w:rPr>
              <w:t>Study type</w:t>
            </w:r>
          </w:p>
        </w:tc>
        <w:tc>
          <w:tcPr>
            <w:tcW w:type="dxa" w:w="4896"/>
            <w:vAlign w:val="center"/>
          </w:tcPr>
          <w:p>
            <w:pPr>
              <w:spacing w:after="40"/>
            </w:pPr>
            <w:r>
              <w:rPr>
                <w:sz w:val="18"/>
              </w:rPr>
              <w:t>NS-3.40 simulation-based UAV communication data</w:t>
            </w:r>
          </w:p>
        </w:tc>
      </w:tr>
      <w:tr>
        <w:tc>
          <w:tcPr>
            <w:tcW w:type="dxa" w:w="4896"/>
            <w:vAlign w:val="center"/>
          </w:tcPr>
          <w:p>
            <w:pPr>
              <w:spacing w:after="40"/>
            </w:pPr>
            <w:r>
              <w:rPr>
                <w:sz w:val="18"/>
              </w:rPr>
              <w:t>Scenarios in repository</w:t>
            </w:r>
          </w:p>
        </w:tc>
        <w:tc>
          <w:tcPr>
            <w:tcW w:type="dxa" w:w="4896"/>
            <w:vAlign w:val="center"/>
          </w:tcPr>
          <w:p>
            <w:pPr>
              <w:spacing w:after="40"/>
            </w:pPr>
            <w:r>
              <w:rPr>
                <w:sz w:val="18"/>
              </w:rPr>
              <w:t>8; this implementation uses Scenario 1 only</w:t>
            </w:r>
          </w:p>
        </w:tc>
      </w:tr>
    </w:tbl>
    <w:p>
      <w:r>
        <w:rPr>
          <w:b w:val="0"/>
        </w:rPr>
        <w:t>Source: https://zenodo.org/records/19373220  |  DOI: 10.5281/zenodo.19373220</w:t>
      </w:r>
    </w:p>
    <w:p>
      <w:pPr>
        <w:pStyle w:val="Heading1"/>
      </w:pPr>
      <w:r>
        <w:t>03  EDA Objectives</w:t>
      </w:r>
    </w:p>
    <w:p>
      <w:pPr>
        <w:pStyle w:val="ListBullet"/>
      </w:pPr>
      <w:r>
        <w:t>Verify data dimensions, types and missing-value status.</w:t>
      </w:r>
    </w:p>
    <w:p>
      <w:pPr>
        <w:pStyle w:val="ListBullet"/>
      </w:pPr>
      <w:r>
        <w:t>Study distribution and range of mobility, link stability and signal quality.</w:t>
      </w:r>
    </w:p>
    <w:p>
      <w:pPr>
        <w:pStyle w:val="ListBullet"/>
      </w:pPr>
      <w:r>
        <w:t>Select relevant predictors while preventing direct label leakage.</w:t>
      </w:r>
    </w:p>
    <w:p>
      <w:pPr>
        <w:pStyle w:val="ListBullet"/>
      </w:pPr>
      <w:r>
        <w:t>Inspect derived class balance before supervised training.</w:t>
      </w:r>
    </w:p>
    <w:p>
      <w:pPr>
        <w:pStyle w:val="ListBullet"/>
      </w:pPr>
      <w:r>
        <w:t>Document limitations of proxy labels and simulation-based evaluation.</w:t>
      </w:r>
    </w:p>
    <w:p>
      <w:r>
        <w:br w:type="page"/>
      </w:r>
    </w:p>
    <w:p>
      <w:pPr>
        <w:pStyle w:val="Heading1"/>
      </w:pPr>
      <w:r>
        <w:t>04  Data Dictionary and Feature Selection</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8"/>
              </w:rPr>
              <w:t>Field / group</w:t>
            </w:r>
          </w:p>
        </w:tc>
        <w:tc>
          <w:tcPr>
            <w:tcW w:type="dxa" w:w="4896"/>
            <w:vAlign w:val="center"/>
          </w:tcPr>
          <w:p>
            <w:pPr>
              <w:spacing w:after="40"/>
            </w:pPr>
            <w:r>
              <w:rPr>
                <w:sz w:val="18"/>
              </w:rPr>
              <w:t>Interpretation / modeling role</w:t>
            </w:r>
          </w:p>
        </w:tc>
      </w:tr>
      <w:tr>
        <w:tc>
          <w:tcPr>
            <w:tcW w:type="dxa" w:w="4896"/>
            <w:vAlign w:val="center"/>
          </w:tcPr>
          <w:p>
            <w:pPr>
              <w:spacing w:after="40"/>
            </w:pPr>
            <w:r>
              <w:rPr>
                <w:sz w:val="18"/>
              </w:rPr>
              <w:t>distance_m</w:t>
            </w:r>
          </w:p>
        </w:tc>
        <w:tc>
          <w:tcPr>
            <w:tcW w:type="dxa" w:w="4896"/>
            <w:vAlign w:val="center"/>
          </w:tcPr>
          <w:p>
            <w:pPr>
              <w:spacing w:after="40"/>
            </w:pPr>
            <w:r>
              <w:rPr>
                <w:sz w:val="18"/>
              </w:rPr>
              <w:t>Inter-UAV distance; predictor</w:t>
            </w:r>
          </w:p>
        </w:tc>
      </w:tr>
      <w:tr>
        <w:tc>
          <w:tcPr>
            <w:tcW w:type="dxa" w:w="4896"/>
            <w:vAlign w:val="center"/>
          </w:tcPr>
          <w:p>
            <w:pPr>
              <w:spacing w:after="40"/>
            </w:pPr>
            <w:r>
              <w:rPr>
                <w:sz w:val="18"/>
              </w:rPr>
              <w:t>nb_hello, symmetrical_link, new_link</w:t>
            </w:r>
          </w:p>
        </w:tc>
        <w:tc>
          <w:tcPr>
            <w:tcW w:type="dxa" w:w="4896"/>
            <w:vAlign w:val="center"/>
          </w:tcPr>
          <w:p>
            <w:pPr>
              <w:spacing w:after="40"/>
            </w:pPr>
            <w:r>
              <w:rPr>
                <w:sz w:val="18"/>
              </w:rPr>
              <w:t>Neighbor discovery and link-state predictors</w:t>
            </w:r>
          </w:p>
        </w:tc>
      </w:tr>
      <w:tr>
        <w:tc>
          <w:tcPr>
            <w:tcW w:type="dxa" w:w="4896"/>
            <w:vAlign w:val="center"/>
          </w:tcPr>
          <w:p>
            <w:pPr>
              <w:spacing w:after="40"/>
            </w:pPr>
            <w:r>
              <w:rPr>
                <w:sz w:val="18"/>
              </w:rPr>
              <w:t>vel_x, vel_y, vel_z, speed_m_s</w:t>
            </w:r>
          </w:p>
        </w:tc>
        <w:tc>
          <w:tcPr>
            <w:tcW w:type="dxa" w:w="4896"/>
            <w:vAlign w:val="center"/>
          </w:tcPr>
          <w:p>
            <w:pPr>
              <w:spacing w:after="40"/>
            </w:pPr>
            <w:r>
              <w:rPr>
                <w:sz w:val="18"/>
              </w:rPr>
              <w:t>UAV mobility predictors</w:t>
            </w:r>
          </w:p>
        </w:tc>
      </w:tr>
      <w:tr>
        <w:tc>
          <w:tcPr>
            <w:tcW w:type="dxa" w:w="4896"/>
            <w:vAlign w:val="center"/>
          </w:tcPr>
          <w:p>
            <w:pPr>
              <w:spacing w:after="40"/>
            </w:pPr>
            <w:r>
              <w:rPr>
                <w:sz w:val="18"/>
              </w:rPr>
              <w:t>remaining_energy</w:t>
            </w:r>
          </w:p>
        </w:tc>
        <w:tc>
          <w:tcPr>
            <w:tcW w:type="dxa" w:w="4896"/>
            <w:vAlign w:val="center"/>
          </w:tcPr>
          <w:p>
            <w:pPr>
              <w:spacing w:after="40"/>
            </w:pPr>
            <w:r>
              <w:rPr>
                <w:sz w:val="18"/>
              </w:rPr>
              <w:t>Energy-related predictor</w:t>
            </w:r>
          </w:p>
        </w:tc>
      </w:tr>
      <w:tr>
        <w:tc>
          <w:tcPr>
            <w:tcW w:type="dxa" w:w="4896"/>
            <w:vAlign w:val="center"/>
          </w:tcPr>
          <w:p>
            <w:pPr>
              <w:spacing w:after="40"/>
            </w:pPr>
            <w:r>
              <w:rPr>
                <w:sz w:val="18"/>
              </w:rPr>
              <w:t>DataRate_Mbps</w:t>
            </w:r>
          </w:p>
        </w:tc>
        <w:tc>
          <w:tcPr>
            <w:tcW w:type="dxa" w:w="4896"/>
            <w:vAlign w:val="center"/>
          </w:tcPr>
          <w:p>
            <w:pPr>
              <w:spacing w:after="40"/>
            </w:pPr>
            <w:r>
              <w:rPr>
                <w:sz w:val="18"/>
              </w:rPr>
              <w:t>Transmission-rate predictor</w:t>
            </w:r>
          </w:p>
        </w:tc>
      </w:tr>
      <w:tr>
        <w:tc>
          <w:tcPr>
            <w:tcW w:type="dxa" w:w="4896"/>
            <w:vAlign w:val="center"/>
          </w:tcPr>
          <w:p>
            <w:pPr>
              <w:spacing w:after="40"/>
            </w:pPr>
            <w:r>
              <w:rPr>
                <w:sz w:val="18"/>
              </w:rPr>
              <w:t>link_lifetime_s</w:t>
            </w:r>
          </w:p>
        </w:tc>
        <w:tc>
          <w:tcPr>
            <w:tcW w:type="dxa" w:w="4896"/>
            <w:vAlign w:val="center"/>
          </w:tcPr>
          <w:p>
            <w:pPr>
              <w:spacing w:after="40"/>
            </w:pPr>
            <w:r>
              <w:rPr>
                <w:sz w:val="18"/>
              </w:rPr>
              <w:t>Used to derive priority proxy; excluded from model inputs</w:t>
            </w:r>
          </w:p>
        </w:tc>
      </w:tr>
      <w:tr>
        <w:tc>
          <w:tcPr>
            <w:tcW w:type="dxa" w:w="4896"/>
            <w:vAlign w:val="center"/>
          </w:tcPr>
          <w:p>
            <w:pPr>
              <w:spacing w:after="40"/>
            </w:pPr>
            <w:r>
              <w:rPr>
                <w:sz w:val="18"/>
              </w:rPr>
              <w:t>SNR_dB</w:t>
            </w:r>
          </w:p>
        </w:tc>
        <w:tc>
          <w:tcPr>
            <w:tcW w:type="dxa" w:w="4896"/>
            <w:vAlign w:val="center"/>
          </w:tcPr>
          <w:p>
            <w:pPr>
              <w:spacing w:after="40"/>
            </w:pPr>
            <w:r>
              <w:rPr>
                <w:sz w:val="18"/>
              </w:rPr>
              <w:t>Used to derive semantic-loss proxy; excluded from model inputs</w:t>
            </w:r>
          </w:p>
        </w:tc>
      </w:tr>
      <w:tr>
        <w:tc>
          <w:tcPr>
            <w:tcW w:type="dxa" w:w="4896"/>
            <w:vAlign w:val="center"/>
          </w:tcPr>
          <w:p>
            <w:pPr>
              <w:spacing w:after="40"/>
            </w:pPr>
            <w:r>
              <w:rPr>
                <w:sz w:val="18"/>
              </w:rPr>
              <w:t>RSSI_dBm, Noise_dBm</w:t>
            </w:r>
          </w:p>
        </w:tc>
        <w:tc>
          <w:tcPr>
            <w:tcW w:type="dxa" w:w="4896"/>
            <w:vAlign w:val="center"/>
          </w:tcPr>
          <w:p>
            <w:pPr>
              <w:spacing w:after="40"/>
            </w:pPr>
            <w:r>
              <w:rPr>
                <w:sz w:val="18"/>
              </w:rPr>
              <w:t>Recorded signal measurements; not in selected model inputs</w:t>
            </w:r>
          </w:p>
        </w:tc>
      </w:tr>
      <w:tr>
        <w:tc>
          <w:tcPr>
            <w:tcW w:type="dxa" w:w="4896"/>
            <w:vAlign w:val="center"/>
          </w:tcPr>
          <w:p>
            <w:pPr>
              <w:spacing w:after="40"/>
            </w:pPr>
            <w:r>
              <w:rPr>
                <w:sz w:val="18"/>
              </w:rPr>
              <w:t>node_id, neighbor_id, packetUid</w:t>
            </w:r>
          </w:p>
        </w:tc>
        <w:tc>
          <w:tcPr>
            <w:tcW w:type="dxa" w:w="4896"/>
            <w:vAlign w:val="center"/>
          </w:tcPr>
          <w:p>
            <w:pPr>
              <w:spacing w:after="40"/>
            </w:pPr>
            <w:r>
              <w:rPr>
                <w:sz w:val="18"/>
              </w:rPr>
              <w:t>Identifiers; excluded from model inputs</w:t>
            </w:r>
          </w:p>
        </w:tc>
      </w:tr>
    </w:tbl>
    <w:p>
      <w:r>
        <w:rPr>
          <w:b w:val="0"/>
        </w:rPr>
        <w:t>Model input dimension: 10 selected features. The source CSV contains 25 columns; not all columns are used as predictors.</w:t>
      </w:r>
    </w:p>
    <w:p>
      <w:pPr>
        <w:pStyle w:val="Heading1"/>
      </w:pPr>
      <w:r>
        <w:t>05  Data Quality and Descriptive Statistics</w:t>
      </w:r>
    </w:p>
    <w:tbl>
      <w:tblPr>
        <w:tblStyle w:val="LightShading-Accent1"/>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pPr>
              <w:spacing w:after="40"/>
            </w:pPr>
            <w:r>
              <w:rPr>
                <w:sz w:val="18"/>
              </w:rPr>
              <w:t>Variable</w:t>
            </w:r>
          </w:p>
        </w:tc>
        <w:tc>
          <w:tcPr>
            <w:tcW w:type="dxa" w:w="1958"/>
            <w:vAlign w:val="center"/>
          </w:tcPr>
          <w:p>
            <w:pPr>
              <w:spacing w:after="40"/>
            </w:pPr>
            <w:r>
              <w:rPr>
                <w:sz w:val="18"/>
              </w:rPr>
              <w:t>Mean</w:t>
            </w:r>
          </w:p>
        </w:tc>
        <w:tc>
          <w:tcPr>
            <w:tcW w:type="dxa" w:w="1958"/>
            <w:vAlign w:val="center"/>
          </w:tcPr>
          <w:p>
            <w:pPr>
              <w:spacing w:after="40"/>
            </w:pPr>
            <w:r>
              <w:rPr>
                <w:sz w:val="18"/>
              </w:rPr>
              <w:t>Min</w:t>
            </w:r>
          </w:p>
        </w:tc>
        <w:tc>
          <w:tcPr>
            <w:tcW w:type="dxa" w:w="1958"/>
            <w:vAlign w:val="center"/>
          </w:tcPr>
          <w:p>
            <w:pPr>
              <w:spacing w:after="40"/>
            </w:pPr>
            <w:r>
              <w:rPr>
                <w:sz w:val="18"/>
              </w:rPr>
              <w:t>Median</w:t>
            </w:r>
          </w:p>
        </w:tc>
        <w:tc>
          <w:tcPr>
            <w:tcW w:type="dxa" w:w="1958"/>
            <w:vAlign w:val="center"/>
          </w:tcPr>
          <w:p>
            <w:pPr>
              <w:spacing w:after="40"/>
            </w:pPr>
            <w:r>
              <w:rPr>
                <w:sz w:val="18"/>
              </w:rPr>
              <w:t>Max</w:t>
            </w:r>
          </w:p>
        </w:tc>
      </w:tr>
      <w:tr>
        <w:tc>
          <w:tcPr>
            <w:tcW w:type="dxa" w:w="1958"/>
            <w:vAlign w:val="center"/>
          </w:tcPr>
          <w:p>
            <w:pPr>
              <w:spacing w:after="40"/>
            </w:pPr>
            <w:r>
              <w:rPr>
                <w:sz w:val="18"/>
              </w:rPr>
              <w:t>Link lifetime (s)</w:t>
            </w:r>
          </w:p>
        </w:tc>
        <w:tc>
          <w:tcPr>
            <w:tcW w:type="dxa" w:w="1958"/>
            <w:vAlign w:val="center"/>
          </w:tcPr>
          <w:p>
            <w:pPr>
              <w:spacing w:after="40"/>
            </w:pPr>
            <w:r>
              <w:rPr>
                <w:sz w:val="18"/>
              </w:rPr>
              <w:t>47.77</w:t>
            </w:r>
          </w:p>
        </w:tc>
        <w:tc>
          <w:tcPr>
            <w:tcW w:type="dxa" w:w="1958"/>
            <w:vAlign w:val="center"/>
          </w:tcPr>
          <w:p>
            <w:pPr>
              <w:spacing w:after="40"/>
            </w:pPr>
            <w:r>
              <w:rPr>
                <w:sz w:val="18"/>
              </w:rPr>
              <w:t>0.00</w:t>
            </w:r>
          </w:p>
        </w:tc>
        <w:tc>
          <w:tcPr>
            <w:tcW w:type="dxa" w:w="1958"/>
            <w:vAlign w:val="center"/>
          </w:tcPr>
          <w:p>
            <w:pPr>
              <w:spacing w:after="40"/>
            </w:pPr>
            <w:r>
              <w:rPr>
                <w:sz w:val="18"/>
              </w:rPr>
              <w:t>48.97</w:t>
            </w:r>
          </w:p>
        </w:tc>
        <w:tc>
          <w:tcPr>
            <w:tcW w:type="dxa" w:w="1958"/>
            <w:vAlign w:val="center"/>
          </w:tcPr>
          <w:p>
            <w:pPr>
              <w:spacing w:after="40"/>
            </w:pPr>
            <w:r>
              <w:rPr>
                <w:sz w:val="18"/>
              </w:rPr>
              <w:t>129.51</w:t>
            </w:r>
          </w:p>
        </w:tc>
      </w:tr>
      <w:tr>
        <w:tc>
          <w:tcPr>
            <w:tcW w:type="dxa" w:w="1958"/>
            <w:vAlign w:val="center"/>
          </w:tcPr>
          <w:p>
            <w:pPr>
              <w:spacing w:after="40"/>
            </w:pPr>
            <w:r>
              <w:rPr>
                <w:sz w:val="18"/>
              </w:rPr>
              <w:t>UAV speed (m/s)</w:t>
            </w:r>
          </w:p>
        </w:tc>
        <w:tc>
          <w:tcPr>
            <w:tcW w:type="dxa" w:w="1958"/>
            <w:vAlign w:val="center"/>
          </w:tcPr>
          <w:p>
            <w:pPr>
              <w:spacing w:after="40"/>
            </w:pPr>
            <w:r>
              <w:rPr>
                <w:sz w:val="18"/>
              </w:rPr>
              <w:t>5.66</w:t>
            </w:r>
          </w:p>
        </w:tc>
        <w:tc>
          <w:tcPr>
            <w:tcW w:type="dxa" w:w="1958"/>
            <w:vAlign w:val="center"/>
          </w:tcPr>
          <w:p>
            <w:pPr>
              <w:spacing w:after="40"/>
            </w:pPr>
            <w:r>
              <w:rPr>
                <w:sz w:val="18"/>
              </w:rPr>
              <w:t>0.00</w:t>
            </w:r>
          </w:p>
        </w:tc>
        <w:tc>
          <w:tcPr>
            <w:tcW w:type="dxa" w:w="1958"/>
            <w:vAlign w:val="center"/>
          </w:tcPr>
          <w:p>
            <w:pPr>
              <w:spacing w:after="40"/>
            </w:pPr>
            <w:r>
              <w:rPr>
                <w:sz w:val="18"/>
              </w:rPr>
              <w:t>6.49</w:t>
            </w:r>
          </w:p>
        </w:tc>
        <w:tc>
          <w:tcPr>
            <w:tcW w:type="dxa" w:w="1958"/>
            <w:vAlign w:val="center"/>
          </w:tcPr>
          <w:p>
            <w:pPr>
              <w:spacing w:after="40"/>
            </w:pPr>
            <w:r>
              <w:rPr>
                <w:sz w:val="18"/>
              </w:rPr>
              <w:t>9.99</w:t>
            </w:r>
          </w:p>
        </w:tc>
      </w:tr>
      <w:tr>
        <w:tc>
          <w:tcPr>
            <w:tcW w:type="dxa" w:w="1958"/>
            <w:vAlign w:val="center"/>
          </w:tcPr>
          <w:p>
            <w:pPr>
              <w:spacing w:after="40"/>
            </w:pPr>
            <w:r>
              <w:rPr>
                <w:sz w:val="18"/>
              </w:rPr>
              <w:t>SNR (dB)</w:t>
            </w:r>
          </w:p>
        </w:tc>
        <w:tc>
          <w:tcPr>
            <w:tcW w:type="dxa" w:w="1958"/>
            <w:vAlign w:val="center"/>
          </w:tcPr>
          <w:p>
            <w:pPr>
              <w:spacing w:after="40"/>
            </w:pPr>
            <w:r>
              <w:rPr>
                <w:sz w:val="18"/>
              </w:rPr>
              <w:t>16.21</w:t>
            </w:r>
          </w:p>
        </w:tc>
        <w:tc>
          <w:tcPr>
            <w:tcW w:type="dxa" w:w="1958"/>
            <w:vAlign w:val="center"/>
          </w:tcPr>
          <w:p>
            <w:pPr>
              <w:spacing w:after="40"/>
            </w:pPr>
            <w:r>
              <w:rPr>
                <w:sz w:val="18"/>
              </w:rPr>
              <w:t>4.13</w:t>
            </w:r>
          </w:p>
        </w:tc>
        <w:tc>
          <w:tcPr>
            <w:tcW w:type="dxa" w:w="1958"/>
            <w:vAlign w:val="center"/>
          </w:tcPr>
          <w:p>
            <w:pPr>
              <w:spacing w:after="40"/>
            </w:pPr>
            <w:r>
              <w:rPr>
                <w:sz w:val="18"/>
              </w:rPr>
              <w:t>15.52</w:t>
            </w:r>
          </w:p>
        </w:tc>
        <w:tc>
          <w:tcPr>
            <w:tcW w:type="dxa" w:w="1958"/>
            <w:vAlign w:val="center"/>
          </w:tcPr>
          <w:p>
            <w:pPr>
              <w:spacing w:after="40"/>
            </w:pPr>
            <w:r>
              <w:rPr>
                <w:sz w:val="18"/>
              </w:rPr>
              <w:t>30.13</w:t>
            </w:r>
          </w:p>
        </w:tc>
      </w:tr>
      <w:tr>
        <w:tc>
          <w:tcPr>
            <w:tcW w:type="dxa" w:w="1958"/>
            <w:vAlign w:val="center"/>
          </w:tcPr>
          <w:p>
            <w:pPr>
              <w:spacing w:after="40"/>
            </w:pPr>
            <w:r>
              <w:rPr>
                <w:sz w:val="18"/>
              </w:rPr>
              <w:t>Data rate (Mbps)</w:t>
            </w:r>
          </w:p>
        </w:tc>
        <w:tc>
          <w:tcPr>
            <w:tcW w:type="dxa" w:w="1958"/>
            <w:vAlign w:val="center"/>
          </w:tcPr>
          <w:p>
            <w:pPr>
              <w:spacing w:after="40"/>
            </w:pPr>
            <w:r>
              <w:rPr>
                <w:sz w:val="18"/>
              </w:rPr>
              <w:t>5.54</w:t>
            </w:r>
          </w:p>
        </w:tc>
        <w:tc>
          <w:tcPr>
            <w:tcW w:type="dxa" w:w="1958"/>
            <w:vAlign w:val="center"/>
          </w:tcPr>
          <w:p>
            <w:pPr>
              <w:spacing w:after="40"/>
            </w:pPr>
            <w:r>
              <w:rPr>
                <w:sz w:val="18"/>
              </w:rPr>
              <w:t>1.00</w:t>
            </w:r>
          </w:p>
        </w:tc>
        <w:tc>
          <w:tcPr>
            <w:tcW w:type="dxa" w:w="1958"/>
            <w:vAlign w:val="center"/>
          </w:tcPr>
          <w:p>
            <w:pPr>
              <w:spacing w:after="40"/>
            </w:pPr>
            <w:r>
              <w:rPr>
                <w:sz w:val="18"/>
              </w:rPr>
              <w:t>5.50</w:t>
            </w:r>
          </w:p>
        </w:tc>
        <w:tc>
          <w:tcPr>
            <w:tcW w:type="dxa" w:w="1958"/>
            <w:vAlign w:val="center"/>
          </w:tcPr>
          <w:p>
            <w:pPr>
              <w:spacing w:after="40"/>
            </w:pPr>
            <w:r>
              <w:rPr>
                <w:sz w:val="18"/>
              </w:rPr>
              <w:t>11.00</w:t>
            </w:r>
          </w:p>
        </w:tc>
      </w:tr>
    </w:tbl>
    <w:p>
      <w:r>
        <w:rPr>
          <w:b w:val="0"/>
        </w:rPr>
        <w:t>Completeness: all 25 columns were reported to have zero missing entries. These summary values are from the previously executed Scenario 1 EDA output; they should be rechecked against the final uploaded CSV before submission.</w:t>
      </w:r>
    </w:p>
    <w:p>
      <w:pPr>
        <w:pStyle w:val="Heading2"/>
      </w:pPr>
      <w:r>
        <w:t>Interpretation</w:t>
      </w:r>
    </w:p>
    <w:p>
      <w:r>
        <w:rPr>
          <w:b w:val="0"/>
        </w:rPr>
        <w:t>Link lifetime spans 0–129.51 seconds, indicating substantial variation in link persistence. UAV speeds range from stationary to nearly 10 m/s. SNR and data rate vary across records, suggesting heterogeneous communication conditions. These patterns justify investigating multiple network-related predictors rather than relying on one measurement.</w:t>
      </w:r>
    </w:p>
    <w:p>
      <w:pPr>
        <w:pStyle w:val="Heading1"/>
      </w:pPr>
      <w:r>
        <w:t>06  Target Construction (Project-Specific Proxies)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40"/>
            </w:pPr>
            <w:r>
              <w:rPr>
                <w:sz w:val="18"/>
              </w:rPr>
              <w:t>Output</w:t>
            </w:r>
          </w:p>
        </w:tc>
        <w:tc>
          <w:tcPr>
            <w:tcW w:type="dxa" w:w="3264"/>
            <w:vAlign w:val="center"/>
          </w:tcPr>
          <w:p>
            <w:pPr>
              <w:spacing w:after="40"/>
            </w:pPr>
            <w:r>
              <w:rPr>
                <w:sz w:val="18"/>
              </w:rPr>
              <w:t>Rule</w:t>
            </w:r>
          </w:p>
        </w:tc>
        <w:tc>
          <w:tcPr>
            <w:tcW w:type="dxa" w:w="3264"/>
            <w:vAlign w:val="center"/>
          </w:tcPr>
          <w:p>
            <w:pPr>
              <w:spacing w:after="40"/>
            </w:pPr>
            <w:r>
              <w:rPr>
                <w:sz w:val="18"/>
              </w:rPr>
              <w:t>Classes</w:t>
            </w:r>
          </w:p>
        </w:tc>
      </w:tr>
      <w:tr>
        <w:tc>
          <w:tcPr>
            <w:tcW w:type="dxa" w:w="3264"/>
            <w:vAlign w:val="center"/>
          </w:tcPr>
          <w:p>
            <w:pPr>
              <w:spacing w:after="40"/>
            </w:pPr>
            <w:r>
              <w:rPr>
                <w:sz w:val="18"/>
              </w:rPr>
              <w:t>Message priority</w:t>
            </w:r>
          </w:p>
        </w:tc>
        <w:tc>
          <w:tcPr>
            <w:tcW w:type="dxa" w:w="3264"/>
            <w:vAlign w:val="center"/>
          </w:tcPr>
          <w:p>
            <w:pPr>
              <w:spacing w:after="40"/>
            </w:pPr>
            <w:r>
              <w:rPr>
                <w:sz w:val="18"/>
              </w:rPr>
              <w:t>Link lifetime ≤ Q1: High; Q1–Q3: Medium; &gt; Q3: Low</w:t>
            </w:r>
          </w:p>
        </w:tc>
        <w:tc>
          <w:tcPr>
            <w:tcW w:type="dxa" w:w="3264"/>
            <w:vAlign w:val="center"/>
          </w:tcPr>
          <w:p>
            <w:pPr>
              <w:spacing w:after="40"/>
            </w:pPr>
            <w:r>
              <w:rPr>
                <w:sz w:val="18"/>
              </w:rPr>
              <w:t>High / Medium / Low</w:t>
            </w:r>
          </w:p>
        </w:tc>
      </w:tr>
      <w:tr>
        <w:tc>
          <w:tcPr>
            <w:tcW w:type="dxa" w:w="3264"/>
            <w:vAlign w:val="center"/>
          </w:tcPr>
          <w:p>
            <w:pPr>
              <w:spacing w:after="40"/>
            </w:pPr>
            <w:r>
              <w:rPr>
                <w:sz w:val="18"/>
              </w:rPr>
              <w:t>Semantic-loss tolerance</w:t>
            </w:r>
          </w:p>
        </w:tc>
        <w:tc>
          <w:tcPr>
            <w:tcW w:type="dxa" w:w="3264"/>
            <w:vAlign w:val="center"/>
          </w:tcPr>
          <w:p>
            <w:pPr>
              <w:spacing w:after="40"/>
            </w:pPr>
            <w:r>
              <w:rPr>
                <w:sz w:val="18"/>
              </w:rPr>
              <w:t>SNR &lt; median: Low; otherwise: High</w:t>
            </w:r>
          </w:p>
        </w:tc>
        <w:tc>
          <w:tcPr>
            <w:tcW w:type="dxa" w:w="3264"/>
            <w:vAlign w:val="center"/>
          </w:tcPr>
          <w:p>
            <w:pPr>
              <w:spacing w:after="40"/>
            </w:pPr>
            <w:r>
              <w:rPr>
                <w:sz w:val="18"/>
              </w:rPr>
              <w:t>Low / High</w:t>
            </w:r>
          </w:p>
        </w:tc>
      </w:tr>
    </w:tbl>
    <w:p>
      <w:r>
        <w:rPr>
          <w:b w:val="0"/>
        </w:rPr>
        <w:t>For Scenario 1, Q1 link lifetime ≈ 22.485 s, Q3 ≈ 61.938 s, and median SNR ≈ 15.516 dB. These are operational heuristics, not validated message-urgency or semantic-importance ground truth.</w:t>
      </w:r>
    </w:p>
    <w:p>
      <w:r>
        <w:br w:type="page"/>
      </w:r>
    </w:p>
    <w:p>
      <w:pPr>
        <w:pStyle w:val="Heading1"/>
      </w:pPr>
      <w:r>
        <w:t>07  Exploratory Visualizations: What to Present</w:t>
      </w:r>
    </w:p>
    <w:p>
      <w:r>
        <w:rPr>
          <w:b w:val="0"/>
        </w:rPr>
        <w:t>Use the actual Scenario 1 CSV to generate the following plots. They are intentionally listed as reproducible deliverables rather than populated with synthetic-data figures.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pPr>
              <w:spacing w:after="40"/>
            </w:pPr>
            <w:r>
              <w:rPr>
                <w:sz w:val="18"/>
              </w:rPr>
              <w:t>Figure</w:t>
            </w:r>
          </w:p>
        </w:tc>
        <w:tc>
          <w:tcPr>
            <w:tcW w:type="dxa" w:w="3264"/>
            <w:vAlign w:val="center"/>
          </w:tcPr>
          <w:p>
            <w:pPr>
              <w:spacing w:after="40"/>
            </w:pPr>
            <w:r>
              <w:rPr>
                <w:sz w:val="18"/>
              </w:rPr>
              <w:t>Graph</w:t>
            </w:r>
          </w:p>
        </w:tc>
        <w:tc>
          <w:tcPr>
            <w:tcW w:type="dxa" w:w="3264"/>
            <w:vAlign w:val="center"/>
          </w:tcPr>
          <w:p>
            <w:pPr>
              <w:spacing w:after="40"/>
            </w:pPr>
            <w:r>
              <w:rPr>
                <w:sz w:val="18"/>
              </w:rPr>
              <w:t>What it demonstrates</w:t>
            </w:r>
          </w:p>
        </w:tc>
      </w:tr>
      <w:tr>
        <w:tc>
          <w:tcPr>
            <w:tcW w:type="dxa" w:w="3264"/>
            <w:vAlign w:val="center"/>
          </w:tcPr>
          <w:p>
            <w:pPr>
              <w:spacing w:after="40"/>
            </w:pPr>
            <w:r>
              <w:rPr>
                <w:sz w:val="18"/>
              </w:rPr>
              <w:t>Fig. 1</w:t>
            </w:r>
          </w:p>
        </w:tc>
        <w:tc>
          <w:tcPr>
            <w:tcW w:type="dxa" w:w="3264"/>
            <w:vAlign w:val="center"/>
          </w:tcPr>
          <w:p>
            <w:pPr>
              <w:spacing w:after="40"/>
            </w:pPr>
            <w:r>
              <w:rPr>
                <w:sz w:val="18"/>
              </w:rPr>
              <w:t>UAV speed histogram</w:t>
            </w:r>
          </w:p>
        </w:tc>
        <w:tc>
          <w:tcPr>
            <w:tcW w:type="dxa" w:w="3264"/>
            <w:vAlign w:val="center"/>
          </w:tcPr>
          <w:p>
            <w:pPr>
              <w:spacing w:after="40"/>
            </w:pPr>
            <w:r>
              <w:rPr>
                <w:sz w:val="18"/>
              </w:rPr>
              <w:t>Mobility distribution and concentration</w:t>
            </w:r>
          </w:p>
        </w:tc>
      </w:tr>
      <w:tr>
        <w:tc>
          <w:tcPr>
            <w:tcW w:type="dxa" w:w="3264"/>
            <w:vAlign w:val="center"/>
          </w:tcPr>
          <w:p>
            <w:pPr>
              <w:spacing w:after="40"/>
            </w:pPr>
            <w:r>
              <w:rPr>
                <w:sz w:val="18"/>
              </w:rPr>
              <w:t>Fig. 2</w:t>
            </w:r>
          </w:p>
        </w:tc>
        <w:tc>
          <w:tcPr>
            <w:tcW w:type="dxa" w:w="3264"/>
            <w:vAlign w:val="center"/>
          </w:tcPr>
          <w:p>
            <w:pPr>
              <w:spacing w:after="40"/>
            </w:pPr>
            <w:r>
              <w:rPr>
                <w:sz w:val="18"/>
              </w:rPr>
              <w:t>SNR histogram</w:t>
            </w:r>
          </w:p>
        </w:tc>
        <w:tc>
          <w:tcPr>
            <w:tcW w:type="dxa" w:w="3264"/>
            <w:vAlign w:val="center"/>
          </w:tcPr>
          <w:p>
            <w:pPr>
              <w:spacing w:after="40"/>
            </w:pPr>
            <w:r>
              <w:rPr>
                <w:sz w:val="18"/>
              </w:rPr>
              <w:t>Variation in radio-link quality</w:t>
            </w:r>
          </w:p>
        </w:tc>
      </w:tr>
      <w:tr>
        <w:tc>
          <w:tcPr>
            <w:tcW w:type="dxa" w:w="3264"/>
            <w:vAlign w:val="center"/>
          </w:tcPr>
          <w:p>
            <w:pPr>
              <w:spacing w:after="40"/>
            </w:pPr>
            <w:r>
              <w:rPr>
                <w:sz w:val="18"/>
              </w:rPr>
              <w:t>Fig. 3</w:t>
            </w:r>
          </w:p>
        </w:tc>
        <w:tc>
          <w:tcPr>
            <w:tcW w:type="dxa" w:w="3264"/>
            <w:vAlign w:val="center"/>
          </w:tcPr>
          <w:p>
            <w:pPr>
              <w:spacing w:after="40"/>
            </w:pPr>
            <w:r>
              <w:rPr>
                <w:sz w:val="18"/>
              </w:rPr>
              <w:t>Link-lifetime histogram</w:t>
            </w:r>
          </w:p>
        </w:tc>
        <w:tc>
          <w:tcPr>
            <w:tcW w:type="dxa" w:w="3264"/>
            <w:vAlign w:val="center"/>
          </w:tcPr>
          <w:p>
            <w:pPr>
              <w:spacing w:after="40"/>
            </w:pPr>
            <w:r>
              <w:rPr>
                <w:sz w:val="18"/>
              </w:rPr>
              <w:t>Link stability and tail behavior</w:t>
            </w:r>
          </w:p>
        </w:tc>
      </w:tr>
      <w:tr>
        <w:tc>
          <w:tcPr>
            <w:tcW w:type="dxa" w:w="3264"/>
            <w:vAlign w:val="center"/>
          </w:tcPr>
          <w:p>
            <w:pPr>
              <w:spacing w:after="40"/>
            </w:pPr>
            <w:r>
              <w:rPr>
                <w:sz w:val="18"/>
              </w:rPr>
              <w:t>Fig. 4</w:t>
            </w:r>
          </w:p>
        </w:tc>
        <w:tc>
          <w:tcPr>
            <w:tcW w:type="dxa" w:w="3264"/>
            <w:vAlign w:val="center"/>
          </w:tcPr>
          <w:p>
            <w:pPr>
              <w:spacing w:after="40"/>
            </w:pPr>
            <w:r>
              <w:rPr>
                <w:sz w:val="18"/>
              </w:rPr>
              <w:t>Data-rate histogram</w:t>
            </w:r>
          </w:p>
        </w:tc>
        <w:tc>
          <w:tcPr>
            <w:tcW w:type="dxa" w:w="3264"/>
            <w:vAlign w:val="center"/>
          </w:tcPr>
          <w:p>
            <w:pPr>
              <w:spacing w:after="40"/>
            </w:pPr>
            <w:r>
              <w:rPr>
                <w:sz w:val="18"/>
              </w:rPr>
              <w:t>Distribution of communication capacity</w:t>
            </w:r>
          </w:p>
        </w:tc>
      </w:tr>
      <w:tr>
        <w:tc>
          <w:tcPr>
            <w:tcW w:type="dxa" w:w="3264"/>
            <w:vAlign w:val="center"/>
          </w:tcPr>
          <w:p>
            <w:pPr>
              <w:spacing w:after="40"/>
            </w:pPr>
            <w:r>
              <w:rPr>
                <w:sz w:val="18"/>
              </w:rPr>
              <w:t>Fig. 5</w:t>
            </w:r>
          </w:p>
        </w:tc>
        <w:tc>
          <w:tcPr>
            <w:tcW w:type="dxa" w:w="3264"/>
            <w:vAlign w:val="center"/>
          </w:tcPr>
          <w:p>
            <w:pPr>
              <w:spacing w:after="40"/>
            </w:pPr>
            <w:r>
              <w:rPr>
                <w:sz w:val="18"/>
              </w:rPr>
              <w:t>Correlation heatmap</w:t>
            </w:r>
          </w:p>
        </w:tc>
        <w:tc>
          <w:tcPr>
            <w:tcW w:type="dxa" w:w="3264"/>
            <w:vAlign w:val="center"/>
          </w:tcPr>
          <w:p>
            <w:pPr>
              <w:spacing w:after="40"/>
            </w:pPr>
            <w:r>
              <w:rPr>
                <w:sz w:val="18"/>
              </w:rPr>
              <w:t>Linear associations among selected numeric fields</w:t>
            </w:r>
          </w:p>
        </w:tc>
      </w:tr>
      <w:tr>
        <w:tc>
          <w:tcPr>
            <w:tcW w:type="dxa" w:w="3264"/>
            <w:vAlign w:val="center"/>
          </w:tcPr>
          <w:p>
            <w:pPr>
              <w:spacing w:after="40"/>
            </w:pPr>
            <w:r>
              <w:rPr>
                <w:sz w:val="18"/>
              </w:rPr>
              <w:t>Fig. 6</w:t>
            </w:r>
          </w:p>
        </w:tc>
        <w:tc>
          <w:tcPr>
            <w:tcW w:type="dxa" w:w="3264"/>
            <w:vAlign w:val="center"/>
          </w:tcPr>
          <w:p>
            <w:pPr>
              <w:spacing w:after="40"/>
            </w:pPr>
            <w:r>
              <w:rPr>
                <w:sz w:val="18"/>
              </w:rPr>
              <w:t>Priority proxy count plot</w:t>
            </w:r>
          </w:p>
        </w:tc>
        <w:tc>
          <w:tcPr>
            <w:tcW w:type="dxa" w:w="3264"/>
            <w:vAlign w:val="center"/>
          </w:tcPr>
          <w:p>
            <w:pPr>
              <w:spacing w:after="40"/>
            </w:pPr>
            <w:r>
              <w:rPr>
                <w:sz w:val="18"/>
              </w:rPr>
              <w:t>Class balance of three derived categories</w:t>
            </w:r>
          </w:p>
        </w:tc>
      </w:tr>
      <w:tr>
        <w:tc>
          <w:tcPr>
            <w:tcW w:type="dxa" w:w="3264"/>
            <w:vAlign w:val="center"/>
          </w:tcPr>
          <w:p>
            <w:pPr>
              <w:spacing w:after="40"/>
            </w:pPr>
            <w:r>
              <w:rPr>
                <w:sz w:val="18"/>
              </w:rPr>
              <w:t>Fig. 7</w:t>
            </w:r>
          </w:p>
        </w:tc>
        <w:tc>
          <w:tcPr>
            <w:tcW w:type="dxa" w:w="3264"/>
            <w:vAlign w:val="center"/>
          </w:tcPr>
          <w:p>
            <w:pPr>
              <w:spacing w:after="40"/>
            </w:pPr>
            <w:r>
              <w:rPr>
                <w:sz w:val="18"/>
              </w:rPr>
              <w:t>Semantic-loss proxy count plot</w:t>
            </w:r>
          </w:p>
        </w:tc>
        <w:tc>
          <w:tcPr>
            <w:tcW w:type="dxa" w:w="3264"/>
            <w:vAlign w:val="center"/>
          </w:tcPr>
          <w:p>
            <w:pPr>
              <w:spacing w:after="40"/>
            </w:pPr>
            <w:r>
              <w:rPr>
                <w:sz w:val="18"/>
              </w:rPr>
              <w:t>Class balance of two derived categories</w:t>
            </w:r>
          </w:p>
        </w:tc>
      </w:tr>
    </w:tbl>
    <w:p>
      <w:pPr>
        <w:pStyle w:val="Heading2"/>
      </w:pPr>
      <w:r>
        <w:t>Graph interpretation guidance</w:t>
      </w:r>
    </w:p>
    <w:p>
      <w:r>
        <w:rPr>
          <w:b w:val="0"/>
        </w:rPr>
        <w:t>A histogram shows frequency across value intervals; it does not by itself prove causality. A correlation heatmap summarizes pairwise linear association, not feature importance. Class counts must be checked after label creation; percentiles usually produce approximate proportions, but ties can alter exact counts.</w:t>
      </w:r>
    </w:p>
    <w:p>
      <w:pPr>
        <w:pStyle w:val="Heading1"/>
      </w:pPr>
      <w:r>
        <w:t>08  Preprocessing and Modeling Pipeline</w:t>
      </w:r>
    </w:p>
    <w:p>
      <w:pPr>
        <w:pStyle w:val="ListNumber"/>
      </w:pPr>
      <w:r>
        <w:t>Load Scenario 1 CSV and verify schema and null counts.</w:t>
      </w:r>
    </w:p>
    <w:p>
      <w:pPr>
        <w:pStyle w:val="ListNumber"/>
      </w:pPr>
      <w:r>
        <w:t>Create the two proxy targets from link lifetime and SNR.</w:t>
      </w:r>
    </w:p>
    <w:p>
      <w:pPr>
        <w:pStyle w:val="ListNumber"/>
      </w:pPr>
      <w:r>
        <w:t>Select 10 input predictors; exclude label-source columns from inputs.</w:t>
      </w:r>
    </w:p>
    <w:p>
      <w:pPr>
        <w:pStyle w:val="ListNumber"/>
      </w:pPr>
      <w:r>
        <w:t>Encode class labels and perform a stratified 80:20 train/test split.</w:t>
      </w:r>
    </w:p>
    <w:p>
      <w:pPr>
        <w:pStyle w:val="ListNumber"/>
      </w:pPr>
      <w:r>
        <w:t>Fit StandardScaler on training data only and transform the test set.</w:t>
      </w:r>
    </w:p>
    <w:p>
      <w:pPr>
        <w:pStyle w:val="ListNumber"/>
      </w:pPr>
      <w:r>
        <w:t>Train shared dense layers (64 → 32 neurons) with two task-specific heads.</w:t>
      </w:r>
    </w:p>
    <w:p>
      <w:pPr>
        <w:pStyle w:val="ListNumber"/>
      </w:pPr>
      <w:r>
        <w:t>Report accuracy, precision, recall, F1-score and confusion matrix for each output.</w:t>
      </w:r>
    </w:p>
    <w:p>
      <w:pPr>
        <w:pStyle w:val="ListNumber"/>
      </w:pPr>
      <w:r>
        <w:t>Compare priority predictions against Logistic Regression, Random Forest and XGBoost.</w:t>
      </w:r>
    </w:p>
    <w:p>
      <w:pPr>
        <w:pStyle w:val="Heading1"/>
      </w:pPr>
      <w:r>
        <w:t>09  Key Findings and Limitations</w:t>
      </w:r>
    </w:p>
    <w:p>
      <w:r>
        <w:rPr>
          <w:b w:val="0"/>
        </w:rPr>
        <w:t>Finding: The selected dataset has 12,339 complete observations and measurable variation in mobility and communication-quality fields. Limitation: the source is simulated, not field-collected UAV telemetry. More importantly, priority and semantic-loss tolerance are inferred proxy labels; predicting them does not demonstrate recognition of actual message urgency or preservation of semantic meaning. Random record-level splits may also overestimate performance when neighboring observations are correlated.</w:t>
      </w:r>
    </w:p>
    <w:p>
      <w:r>
        <w:br w:type="page"/>
      </w:r>
    </w:p>
    <w:p>
      <w:pPr>
        <w:pStyle w:val="Heading1"/>
      </w:pPr>
      <w:r>
        <w:t>10  Conclusion</w:t>
      </w:r>
    </w:p>
    <w:p>
      <w:r>
        <w:rPr>
          <w:b w:val="0"/>
        </w:rPr>
        <w:t>The Scenario 1 FANET dataset is suitable for an exploratory demonstration of multi-output classification using UAV network features. EDA confirms the recorded dataset dimensions and completeness and describes variation in link lifetime, speed, SNR and data rate. The next validation step is to generate and inspect the actual distribution plots and evaluate model generalization across separate scenarios. Project claims should distinguish proxy-label prediction from real emergency-message semantic classification.</w:t>
      </w:r>
    </w:p>
    <w:p>
      <w:pPr>
        <w:pStyle w:val="Heading1"/>
      </w:pPr>
      <w:r>
        <w:t>11  References</w:t>
      </w:r>
    </w:p>
    <w:p>
      <w:r>
        <w:rPr>
          <w:b w:val="0"/>
        </w:rPr>
        <w:t>Mousaoui, A., &amp; Lakhlef, H. (2026). FANET Dataset: UAV Communication Scenarios in NS-3.40. Zenodo. https://doi.org/10.5281/zenodo.19373220</w:t>
      </w:r>
    </w:p>
    <w:p>
      <w:r>
        <w:rPr>
          <w:b w:val="0"/>
        </w:rPr>
        <w:t>Software: Python, Pandas, NumPy, Matplotlib, Seaborn, scikit-learn and TensorFlow/Keras.</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pPr>
              <w:spacing w:after="40"/>
            </w:pPr>
            <w:r>
              <w:rPr>
                <w:sz w:val="18"/>
              </w:rPr>
              <w:t>Question</w:t>
            </w:r>
          </w:p>
        </w:tc>
        <w:tc>
          <w:tcPr>
            <w:tcW w:type="dxa" w:w="4896"/>
            <w:vAlign w:val="center"/>
          </w:tcPr>
          <w:p>
            <w:pPr>
              <w:spacing w:after="40"/>
            </w:pPr>
            <w:r>
              <w:rPr>
                <w:sz w:val="18"/>
              </w:rPr>
              <w:t>Concise answer</w:t>
            </w:r>
          </w:p>
        </w:tc>
      </w:tr>
      <w:tr>
        <w:tc>
          <w:tcPr>
            <w:tcW w:type="dxa" w:w="4896"/>
            <w:vAlign w:val="center"/>
          </w:tcPr>
          <w:p>
            <w:pPr>
              <w:spacing w:after="40"/>
            </w:pPr>
            <w:r>
              <w:rPr>
                <w:sz w:val="18"/>
              </w:rPr>
              <w:t>Where was the dataset obtained?</w:t>
            </w:r>
          </w:p>
        </w:tc>
        <w:tc>
          <w:tcPr>
            <w:tcW w:type="dxa" w:w="4896"/>
            <w:vAlign w:val="center"/>
          </w:tcPr>
          <w:p>
            <w:pPr>
              <w:spacing w:after="40"/>
            </w:pPr>
            <w:r>
              <w:rPr>
                <w:sz w:val="18"/>
              </w:rPr>
              <w:t>Zenodo FANET research dataset; NS-3.40 simulation, Scenario 1 ML-ready CSV.</w:t>
            </w:r>
          </w:p>
        </w:tc>
      </w:tr>
      <w:tr>
        <w:tc>
          <w:tcPr>
            <w:tcW w:type="dxa" w:w="4896"/>
            <w:vAlign w:val="center"/>
          </w:tcPr>
          <w:p>
            <w:pPr>
              <w:spacing w:after="40"/>
            </w:pPr>
            <w:r>
              <w:rPr>
                <w:sz w:val="18"/>
              </w:rPr>
              <w:t>What is the dataset size?</w:t>
            </w:r>
          </w:p>
        </w:tc>
        <w:tc>
          <w:tcPr>
            <w:tcW w:type="dxa" w:w="4896"/>
            <w:vAlign w:val="center"/>
          </w:tcPr>
          <w:p>
            <w:pPr>
              <w:spacing w:after="40"/>
            </w:pPr>
            <w:r>
              <w:rPr>
                <w:sz w:val="18"/>
              </w:rPr>
              <w:t>12,339 rows and 25 original columns.</w:t>
            </w:r>
          </w:p>
        </w:tc>
      </w:tr>
      <w:tr>
        <w:tc>
          <w:tcPr>
            <w:tcW w:type="dxa" w:w="4896"/>
            <w:vAlign w:val="center"/>
          </w:tcPr>
          <w:p>
            <w:pPr>
              <w:spacing w:after="40"/>
            </w:pPr>
            <w:r>
              <w:rPr>
                <w:sz w:val="18"/>
              </w:rPr>
              <w:t>What does EDA show?</w:t>
            </w:r>
          </w:p>
        </w:tc>
        <w:tc>
          <w:tcPr>
            <w:tcW w:type="dxa" w:w="4896"/>
            <w:vAlign w:val="center"/>
          </w:tcPr>
          <w:p>
            <w:pPr>
              <w:spacing w:after="40"/>
            </w:pPr>
            <w:r>
              <w:rPr>
                <w:sz w:val="18"/>
              </w:rPr>
              <w:t>Data completeness, numeric distributions, class balance and relationships.</w:t>
            </w:r>
          </w:p>
        </w:tc>
      </w:tr>
      <w:tr>
        <w:tc>
          <w:tcPr>
            <w:tcW w:type="dxa" w:w="4896"/>
            <w:vAlign w:val="center"/>
          </w:tcPr>
          <w:p>
            <w:pPr>
              <w:spacing w:after="40"/>
            </w:pPr>
            <w:r>
              <w:rPr>
                <w:sz w:val="18"/>
              </w:rPr>
              <w:t>What ML technique is used?</w:t>
            </w:r>
          </w:p>
        </w:tc>
        <w:tc>
          <w:tcPr>
            <w:tcW w:type="dxa" w:w="4896"/>
            <w:vAlign w:val="center"/>
          </w:tcPr>
          <w:p>
            <w:pPr>
              <w:spacing w:after="40"/>
            </w:pPr>
            <w:r>
              <w:rPr>
                <w:sz w:val="18"/>
              </w:rPr>
              <w:t>Supervised deep learning with a multi-task neural network.</w:t>
            </w:r>
          </w:p>
        </w:tc>
      </w:tr>
      <w:tr>
        <w:tc>
          <w:tcPr>
            <w:tcW w:type="dxa" w:w="4896"/>
            <w:vAlign w:val="center"/>
          </w:tcPr>
          <w:p>
            <w:pPr>
              <w:spacing w:after="40"/>
            </w:pPr>
            <w:r>
              <w:rPr>
                <w:sz w:val="18"/>
              </w:rPr>
              <w:t>Are both labels in the original dataset?</w:t>
            </w:r>
          </w:p>
        </w:tc>
        <w:tc>
          <w:tcPr>
            <w:tcW w:type="dxa" w:w="4896"/>
            <w:vAlign w:val="center"/>
          </w:tcPr>
          <w:p>
            <w:pPr>
              <w:spacing w:after="40"/>
            </w:pPr>
            <w:r>
              <w:rPr>
                <w:sz w:val="18"/>
              </w:rPr>
              <w:t>No. We derive project-specific proxies from link lifetime and SNR.</w:t>
            </w:r>
          </w:p>
        </w:tc>
      </w:tr>
      <w:tr>
        <w:tc>
          <w:tcPr>
            <w:tcW w:type="dxa" w:w="4896"/>
            <w:vAlign w:val="center"/>
          </w:tcPr>
          <w:p>
            <w:pPr>
              <w:spacing w:after="40"/>
            </w:pPr>
            <w:r>
              <w:rPr>
                <w:sz w:val="18"/>
              </w:rPr>
              <w:t>How many model inputs?</w:t>
            </w:r>
          </w:p>
        </w:tc>
        <w:tc>
          <w:tcPr>
            <w:tcW w:type="dxa" w:w="4896"/>
            <w:vAlign w:val="center"/>
          </w:tcPr>
          <w:p>
            <w:pPr>
              <w:spacing w:after="40"/>
            </w:pPr>
            <w:r>
              <w:rPr>
                <w:sz w:val="18"/>
              </w:rPr>
              <w:t>Ten selected UAV network measurements.</w:t>
            </w:r>
          </w:p>
        </w:tc>
      </w:tr>
      <w:tr>
        <w:tc>
          <w:tcPr>
            <w:tcW w:type="dxa" w:w="4896"/>
            <w:vAlign w:val="center"/>
          </w:tcPr>
          <w:p>
            <w:pPr>
              <w:spacing w:after="40"/>
            </w:pPr>
            <w:r>
              <w:rPr>
                <w:sz w:val="18"/>
              </w:rPr>
              <w:t>What is the major limitation?</w:t>
            </w:r>
          </w:p>
        </w:tc>
        <w:tc>
          <w:tcPr>
            <w:tcW w:type="dxa" w:w="4896"/>
            <w:vAlign w:val="center"/>
          </w:tcPr>
          <w:p>
            <w:pPr>
              <w:spacing w:after="40"/>
            </w:pPr>
            <w:r>
              <w:rPr>
                <w:sz w:val="18"/>
              </w:rPr>
              <w:t>Proxy labels and simulation data do not prove real-world semantic understanding.</w:t>
            </w:r>
          </w:p>
        </w:tc>
      </w:tr>
    </w:tbl>
    <w:sectPr w:rsidR="00FC693F" w:rsidRPr="0006063C" w:rsidSect="00034616">
      <w:footerReference w:type="default" r:id="rId9"/>
      <w:pgSz w:w="12240" w:h="15840"/>
      <w:pgMar w:top="1123"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UAV NETWORKS  •  DATASET &amp; EDA REPORT  •  2026–27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A374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24167"/>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D698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280"/>
      <w:contextualSpacing/>
    </w:pPr>
    <w:rPr>
      <w:rFonts w:asciiTheme="majorHAnsi" w:eastAsiaTheme="majorEastAsia" w:hAnsiTheme="majorHAnsi" w:cstheme="majorBidi" w:ascii="Aptos Display" w:hAnsi="Aptos Display"/>
      <w:b/>
      <w:color w:val="112F4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