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LITERATURE SURVEY</w:t>
      </w:r>
    </w:p>
    <w:p>
      <w:pPr>
        <w:jc w:val="center"/>
      </w:pPr>
      <w:r>
        <w:rPr>
          <w:b/>
        </w:rPr>
        <w:t>Multi-Task Deep Neural Network for Emergency Message Priority and Semantic-Loss Tolerance Prediction in UAV Networks</w:t>
      </w:r>
    </w:p>
    <w:p>
      <w:r>
        <w:t>Purpose: Review research foundations for UAV network measurements, multi-task learning, and communication robustness.</w:t>
      </w:r>
    </w:p>
    <w:p>
      <w:pPr>
        <w:pStyle w:val="Heading1"/>
      </w:pPr>
      <w:r>
        <w:t>Selected Research Literature</w:t>
      </w:r>
    </w:p>
    <w:tbl>
      <w:tblPr>
        <w:tblStyle w:val="LightShading-Accent1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No.</w:t>
            </w:r>
          </w:p>
        </w:tc>
        <w:tc>
          <w:tcPr>
            <w:tcW w:type="dxa" w:w="2160"/>
          </w:tcPr>
          <w:p>
            <w:r>
              <w:t>Paper / Source</w:t>
            </w:r>
          </w:p>
        </w:tc>
        <w:tc>
          <w:tcPr>
            <w:tcW w:type="dxa" w:w="2160"/>
          </w:tcPr>
          <w:p>
            <w:r>
              <w:t>Main Contribution</w:t>
            </w:r>
          </w:p>
        </w:tc>
        <w:tc>
          <w:tcPr>
            <w:tcW w:type="dxa" w:w="2160"/>
          </w:tcPr>
          <w:p>
            <w:r>
              <w:t>Relevance to Our Project</w:t>
            </w:r>
          </w:p>
        </w:tc>
      </w:tr>
      <w:tr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Caruana (1997) — Multitask Learning</w:t>
            </w:r>
          </w:p>
        </w:tc>
        <w:tc>
          <w:tcPr>
            <w:tcW w:type="dxa" w:w="2160"/>
          </w:tcPr>
          <w:p>
            <w:r>
              <w:t>Shared representations can improve learning across related tasks.</w:t>
            </w:r>
          </w:p>
        </w:tc>
        <w:tc>
          <w:tcPr>
            <w:tcW w:type="dxa" w:w="2160"/>
          </w:tcPr>
          <w:p>
            <w:r>
              <w:t>Supports the shared layers and two output branches in the proposed MT-DNN.</w:t>
            </w:r>
          </w:p>
        </w:tc>
      </w:tr>
      <w:tr>
        <w:tc>
          <w:tcPr>
            <w:tcW w:type="dxa" w:w="2160"/>
          </w:tcPr>
          <w:p>
            <w:r>
              <w:t>2</w:t>
            </w:r>
          </w:p>
        </w:tc>
        <w:tc>
          <w:tcPr>
            <w:tcW w:type="dxa" w:w="2160"/>
          </w:tcPr>
          <w:p>
            <w:r>
              <w:t>Zhang &amp; Yang (2021) — A Survey on Multi-Task Learning</w:t>
            </w:r>
          </w:p>
        </w:tc>
        <w:tc>
          <w:tcPr>
            <w:tcW w:type="dxa" w:w="2160"/>
          </w:tcPr>
          <w:p>
            <w:r>
              <w:t>Reviews architectures and training methods for multi-task learning.</w:t>
            </w:r>
          </w:p>
        </w:tc>
        <w:tc>
          <w:tcPr>
            <w:tcW w:type="dxa" w:w="2160"/>
          </w:tcPr>
          <w:p>
            <w:r>
              <w:t>Provides a theoretical basis for joint priority and tolerance classification.</w:t>
            </w:r>
          </w:p>
        </w:tc>
      </w:tr>
      <w:tr>
        <w:tc>
          <w:tcPr>
            <w:tcW w:type="dxa" w:w="2160"/>
          </w:tcPr>
          <w:p>
            <w:r>
              <w:t>3</w:t>
            </w:r>
          </w:p>
        </w:tc>
        <w:tc>
          <w:tcPr>
            <w:tcW w:type="dxa" w:w="2160"/>
          </w:tcPr>
          <w:p>
            <w:r>
              <w:t>Bourtsoulatze, Kurka &amp; Gündüz (2019) — Deep Joint Source-Channel Coding for Wireless Image Transmission</w:t>
            </w:r>
          </w:p>
        </w:tc>
        <w:tc>
          <w:tcPr>
            <w:tcW w:type="dxa" w:w="2160"/>
          </w:tcPr>
          <w:p>
            <w:r>
              <w:t>Explores learned communication under channel impairment.</w:t>
            </w:r>
          </w:p>
        </w:tc>
        <w:tc>
          <w:tcPr>
            <w:tcW w:type="dxa" w:w="2160"/>
          </w:tcPr>
          <w:p>
            <w:r>
              <w:t>Motivates investigating robustness to communication degradation; it does not define our semantic-loss labels.</w:t>
            </w:r>
          </w:p>
        </w:tc>
      </w:tr>
      <w:tr>
        <w:tc>
          <w:tcPr>
            <w:tcW w:type="dxa" w:w="2160"/>
          </w:tcPr>
          <w:p>
            <w:r>
              <w:t>4</w:t>
            </w:r>
          </w:p>
        </w:tc>
        <w:tc>
          <w:tcPr>
            <w:tcW w:type="dxa" w:w="2160"/>
          </w:tcPr>
          <w:p>
            <w:r>
              <w:t>Mousaoui &amp; Lakhlef (2026) — FANET Dataset: UAV Communication Scenarios in NS-3.40</w:t>
            </w:r>
          </w:p>
        </w:tc>
        <w:tc>
          <w:tcPr>
            <w:tcW w:type="dxa" w:w="2160"/>
          </w:tcPr>
          <w:p>
            <w:r>
              <w:t>Provides simulation-based UAV communication, mobility, and link/QoS measurements.</w:t>
            </w:r>
          </w:p>
        </w:tc>
        <w:tc>
          <w:tcPr>
            <w:tcW w:type="dxa" w:w="2160"/>
          </w:tcPr>
          <w:p>
            <w:r>
              <w:t>Supplies the Scenario 1 research data used in this project; the two target labels are derived by our methodology.</w:t>
            </w:r>
          </w:p>
        </w:tc>
      </w:tr>
    </w:tbl>
    <w:p>
      <w:pPr>
        <w:pStyle w:val="Heading1"/>
      </w:pPr>
      <w:r>
        <w:t>Identified Research Gap</w:t>
      </w:r>
    </w:p>
    <w:p>
      <w:r>
        <w:t>The reviewed works provide foundations in multi-task learning, communication robustness, and UAV network measurements. They do not directly provide a validated dataset for jointly classifying emergency-message priority and semantic-loss tolerance. Our implementation explores this joint architecture using project-defined proxy labels derived from FANET link lifetime and SNR.</w:t>
      </w:r>
    </w:p>
    <w:p>
      <w:pPr>
        <w:pStyle w:val="Heading1"/>
      </w:pPr>
      <w:r>
        <w:t>Project Approach</w:t>
      </w:r>
    </w:p>
    <w:p>
      <w:r>
        <w:t>We use the FANET Scenario 1 ML-ready CSV (12,339 rows, 25 original columns). Ten network features feed shared dense layers and two classification heads: priority (High/Medium/Low) and semantic-loss tolerance (High/Low). The proxy labels are not supplied by the original research dataset, and therefore the experiment does not establish real-world emergency-message classification performance.</w:t>
      </w:r>
    </w:p>
    <w:p>
      <w:pPr>
        <w:pStyle w:val="Heading1"/>
      </w:pPr>
      <w:r>
        <w:t>References / Source Links</w:t>
      </w:r>
    </w:p>
    <w:p>
      <w:r>
        <w:t>[1] R. Caruana, “Multitask Learning,” Machine Learning, vol. 28, pp. 41–75, 1997. DOI: 10.1023/A:1007379606734.</w:t>
      </w:r>
    </w:p>
    <w:p>
      <w:r>
        <w:t>[2] Y. Zhang and Q. Yang, “A Survey on Multi-Task Learning,” IEEE Transactions on Knowledge and Data Engineering, 2021. DOI: 10.1109/TKDE.2021.3070203.</w:t>
      </w:r>
    </w:p>
    <w:p>
      <w:r>
        <w:t>[3] E. Bourtsoulatze, D. B. Kurka, and D. Gündüz, “Deep Joint Source-Channel Coding for Wireless Image Transmission,” IEEE Transactions on Cognitive Communications and Networking, 2019. DOI: 10.1109/TCCN.2019.2919300.</w:t>
      </w:r>
    </w:p>
    <w:p>
      <w:r>
        <w:t>[4] A. Mousaoui and H. Lakhlef, “FANET Dataset: UAV Communication Scenarios in NS-3.40,” Zenodo, 2026. DOI: 10.5281/zenodo.19373220.</w:t>
      </w:r>
    </w:p>
    <w:p>
      <w:r>
        <w:t>GitHub note: Keep this document in 02_Literature_Survey/ and link to the papers using their DOI pages. Upload publisher PDFs only if redistribution is permitted.</w:t>
      </w:r>
    </w:p>
    <w:sectPr w:rsidR="00FC693F" w:rsidRPr="0006063C" w:rsidSect="00034616">
      <w:pgSz w:w="12240" w:h="15840"/>
      <w:pgMar w:top="1080" w:right="1800" w:bottom="1008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/>
    </w:pPr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/>
      <w:b/>
      <w:bCs/>
      <w:color w:val="18395E"/>
      <w:sz w:val="2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Calibri" w:hAnsi="Calibri"/>
      <w:b/>
      <w:color w:val="18395E"/>
      <w:spacing w:val="5"/>
      <w:kern w:val="28"/>
      <w:sz w:val="3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