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Risk-Parity &amp; Modern Portfolio Theory Optimizer</w:t>
      </w:r>
    </w:p>
    <w:p>
      <w:pPr>
        <w:jc w:val="center"/>
      </w:pPr>
      <w:r>
        <w:rPr>
          <w:i/>
          <w:sz w:val="24"/>
        </w:rPr>
        <w:t>Complete Technical Breakdown &amp; Recruiting Guide</w:t>
      </w:r>
    </w:p>
    <w:p>
      <w:r>
        <w:rPr>
          <w:b/>
        </w:rPr>
        <w:t xml:space="preserve">Document Version: </w:t>
      </w:r>
      <w:r>
        <w:t>1.0</w:t>
        <w:br/>
      </w:r>
      <w:r>
        <w:rPr>
          <w:b/>
        </w:rPr>
        <w:t xml:space="preserve">Date: </w:t>
      </w:r>
      <w:r>
        <w:t>June 30, 2026</w:t>
        <w:br/>
      </w:r>
      <w:r>
        <w:rPr>
          <w:b/>
        </w:rPr>
        <w:t xml:space="preserve">Status: </w:t>
      </w:r>
      <w:r>
        <w:t>Production-Ready with Identified Gaps</w:t>
      </w:r>
    </w:p>
    <w:p/>
    <w:p>
      <w:pPr>
        <w:pStyle w:val="Heading1"/>
      </w:pPr>
      <w:r>
        <w:t>TABLE OF CONTENTS</w:t>
      </w:r>
    </w:p>
    <w:p>
      <w:pPr>
        <w:pStyle w:val="ListBullet"/>
      </w:pPr>
      <w:r>
        <w:t>1. Executive Summary</w:t>
      </w:r>
    </w:p>
    <w:p>
      <w:pPr>
        <w:pStyle w:val="ListBullet"/>
      </w:pPr>
      <w:r>
        <w:t>2. High-Level Architecture</w:t>
      </w:r>
    </w:p>
    <w:p>
      <w:pPr>
        <w:pStyle w:val="ListBullet"/>
      </w:pPr>
      <w:r>
        <w:t>3. Complete Code Breakdown</w:t>
      </w:r>
    </w:p>
    <w:p>
      <w:pPr>
        <w:pStyle w:val="ListBullet"/>
      </w:pPr>
      <w:r>
        <w:t>4. Mathematical Foundations</w:t>
      </w:r>
    </w:p>
    <w:p>
      <w:pPr>
        <w:pStyle w:val="ListBullet"/>
      </w:pPr>
      <w:r>
        <w:t>5. Implementation Walkthrough</w:t>
      </w:r>
    </w:p>
    <w:p>
      <w:pPr>
        <w:pStyle w:val="ListBullet"/>
      </w:pPr>
      <w:r>
        <w:t>6. Results &amp; Interpretation</w:t>
      </w:r>
    </w:p>
    <w:p>
      <w:pPr>
        <w:pStyle w:val="ListBullet"/>
      </w:pPr>
      <w:r>
        <w:t>7. Bugs, Gaps &amp; Institutional Issues</w:t>
      </w:r>
    </w:p>
    <w:p>
      <w:pPr>
        <w:pStyle w:val="ListBullet"/>
      </w:pPr>
      <w:r>
        <w:t>8. Recruiting Applications</w:t>
      </w:r>
    </w:p>
    <w:p>
      <w:pPr>
        <w:pStyle w:val="ListBullet"/>
      </w:pPr>
      <w:r>
        <w:t>9. Production Upgrades</w:t>
      </w:r>
    </w:p>
    <w:p>
      <w:pPr>
        <w:pStyle w:val="ListBullet"/>
      </w:pPr>
      <w:r>
        <w:t>10. Interview Talking Points</w:t>
      </w:r>
    </w:p>
    <w:p>
      <w:r>
        <w:br w:type="page"/>
      </w:r>
    </w:p>
    <w:p>
      <w:pPr>
        <w:pStyle w:val="Heading1"/>
      </w:pPr>
      <w:r>
        <w:t>EXECUTIVE SUMMARY</w:t>
      </w:r>
    </w:p>
    <w:p>
      <w:pPr>
        <w:pStyle w:val="Heading2"/>
      </w:pPr>
      <w:r>
        <w:t>What This Project Does</w:t>
      </w:r>
    </w:p>
    <w:p>
      <w:r>
        <w:t>This notebook implements institutional portfolio construction—the core research workflow at asset management firms, hedge funds, and pension allocators.</w:t>
      </w:r>
    </w:p>
    <w:p>
      <w:pPr>
        <w:pStyle w:val="ListBullet"/>
      </w:pPr>
      <w:r>
        <w:t>Three parallel portfolio strategies are compared:</w:t>
      </w:r>
    </w:p>
    <w:p>
      <w:pPr>
        <w:pStyle w:val="ListBullet2"/>
      </w:pPr>
      <w:r>
        <w:rPr>
          <w:b/>
        </w:rPr>
        <w:t xml:space="preserve">Minimum Variance Portfolio: </w:t>
      </w:r>
      <w:r>
        <w:t>Minimizes portfolio volatility (safest allocation)</w:t>
      </w:r>
    </w:p>
    <w:p>
      <w:pPr>
        <w:pStyle w:val="ListBullet2"/>
      </w:pPr>
      <w:r>
        <w:rPr>
          <w:b/>
        </w:rPr>
        <w:t xml:space="preserve">Maximum Sharpe Portfolio: </w:t>
      </w:r>
      <w:r>
        <w:t>Maximizes risk-adjusted returns (best Sharpe ratio)</w:t>
      </w:r>
    </w:p>
    <w:p>
      <w:pPr>
        <w:pStyle w:val="ListBullet2"/>
      </w:pPr>
      <w:r>
        <w:rPr>
          <w:b/>
        </w:rPr>
        <w:t xml:space="preserve">Risk-Parity Portfolio: </w:t>
      </w:r>
      <w:r>
        <w:t>Equalizes risk contribution across assets (novel allocation)</w:t>
      </w:r>
    </w:p>
    <w:p/>
    <w:p>
      <w:r>
        <w:t>Backtested over 5 years (July 2021 - June 2026) on 8 asset classes:</w:t>
      </w:r>
    </w:p>
    <w:p>
      <w:pPr>
        <w:pStyle w:val="ListBullet2"/>
      </w:pPr>
      <w:r>
        <w:t>US Equities (SPY)</w:t>
      </w:r>
    </w:p>
    <w:p>
      <w:pPr>
        <w:pStyle w:val="ListBullet2"/>
      </w:pPr>
      <w:r>
        <w:t>International Equities (EFA)</w:t>
      </w:r>
    </w:p>
    <w:p>
      <w:pPr>
        <w:pStyle w:val="ListBullet2"/>
      </w:pPr>
      <w:r>
        <w:t>Emerging Markets (EEM)</w:t>
      </w:r>
    </w:p>
    <w:p>
      <w:pPr>
        <w:pStyle w:val="ListBullet2"/>
      </w:pPr>
      <w:r>
        <w:t>US Bonds (BND)</w:t>
      </w:r>
    </w:p>
    <w:p>
      <w:pPr>
        <w:pStyle w:val="ListBullet2"/>
      </w:pPr>
      <w:r>
        <w:t>International Bonds (BNDX)</w:t>
      </w:r>
    </w:p>
    <w:p>
      <w:pPr>
        <w:pStyle w:val="ListBullet2"/>
      </w:pPr>
      <w:r>
        <w:t>Real Estate/REITs (VNQ)</w:t>
      </w:r>
    </w:p>
    <w:p>
      <w:pPr>
        <w:pStyle w:val="ListBullet2"/>
      </w:pPr>
      <w:r>
        <w:t>Commodities (GSG)</w:t>
      </w:r>
    </w:p>
    <w:p>
      <w:pPr>
        <w:pStyle w:val="ListBullet2"/>
      </w:pPr>
      <w:r>
        <w:t>Gold (GLD)</w:t>
      </w:r>
    </w:p>
    <w:p>
      <w:pPr>
        <w:pStyle w:val="Heading2"/>
      </w:pPr>
      <w:r>
        <w:t>Key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Strategy</w:t>
            </w:r>
          </w:p>
        </w:tc>
        <w:tc>
          <w:tcPr>
            <w:tcW w:type="dxa" w:w="1728"/>
          </w:tcPr>
          <w:p>
            <w:r>
              <w:t>Annual Return</w:t>
            </w:r>
          </w:p>
        </w:tc>
        <w:tc>
          <w:tcPr>
            <w:tcW w:type="dxa" w:w="1728"/>
          </w:tcPr>
          <w:p>
            <w:r>
              <w:t>Annual Vol</w:t>
            </w:r>
          </w:p>
        </w:tc>
        <w:tc>
          <w:tcPr>
            <w:tcW w:type="dxa" w:w="1728"/>
          </w:tcPr>
          <w:p>
            <w:r>
              <w:t>Sharpe</w:t>
            </w:r>
          </w:p>
        </w:tc>
        <w:tc>
          <w:tcPr>
            <w:tcW w:type="dxa" w:w="1728"/>
          </w:tcPr>
          <w:p>
            <w:r>
              <w:t>Max Drawdown</w:t>
            </w:r>
          </w:p>
        </w:tc>
      </w:tr>
      <w:tr>
        <w:tc>
          <w:tcPr>
            <w:tcW w:type="dxa" w:w="1728"/>
          </w:tcPr>
          <w:p>
            <w:r>
              <w:t>Min Variance</w:t>
            </w:r>
          </w:p>
        </w:tc>
        <w:tc>
          <w:tcPr>
            <w:tcW w:type="dxa" w:w="1728"/>
          </w:tcPr>
          <w:p>
            <w:r>
              <w:t>1.54%</w:t>
            </w:r>
          </w:p>
        </w:tc>
        <w:tc>
          <w:tcPr>
            <w:tcW w:type="dxa" w:w="1728"/>
          </w:tcPr>
          <w:p>
            <w:r>
              <w:t>4.84%</w:t>
            </w:r>
          </w:p>
        </w:tc>
        <w:tc>
          <w:tcPr>
            <w:tcW w:type="dxa" w:w="1728"/>
          </w:tcPr>
          <w:p>
            <w:r>
              <w:t>-0.597</w:t>
            </w:r>
          </w:p>
        </w:tc>
        <w:tc>
          <w:tcPr>
            <w:tcW w:type="dxa" w:w="1728"/>
          </w:tcPr>
          <w:p>
            <w:r>
              <w:t>-12.82%</w:t>
            </w:r>
          </w:p>
        </w:tc>
      </w:tr>
      <w:tr>
        <w:tc>
          <w:tcPr>
            <w:tcW w:type="dxa" w:w="1728"/>
          </w:tcPr>
          <w:p>
            <w:r>
              <w:t>Max Sharpe</w:t>
            </w:r>
          </w:p>
        </w:tc>
        <w:tc>
          <w:tcPr>
            <w:tcW w:type="dxa" w:w="1728"/>
          </w:tcPr>
          <w:p>
            <w:r>
              <w:t>15.95%</w:t>
            </w:r>
          </w:p>
        </w:tc>
        <w:tc>
          <w:tcPr>
            <w:tcW w:type="dxa" w:w="1728"/>
          </w:tcPr>
          <w:p>
            <w:r>
              <w:t>13.66%</w:t>
            </w:r>
          </w:p>
        </w:tc>
        <w:tc>
          <w:tcPr>
            <w:tcW w:type="dxa" w:w="1728"/>
          </w:tcPr>
          <w:p>
            <w:r>
              <w:t>1.163</w:t>
            </w:r>
          </w:p>
        </w:tc>
        <w:tc>
          <w:tcPr>
            <w:tcW w:type="dxa" w:w="1728"/>
          </w:tcPr>
          <w:p>
            <w:r>
              <w:t>-17.35%</w:t>
            </w:r>
          </w:p>
        </w:tc>
      </w:tr>
      <w:tr>
        <w:tc>
          <w:tcPr>
            <w:tcW w:type="dxa" w:w="1728"/>
          </w:tcPr>
          <w:p>
            <w:r>
              <w:t>Risk Parity</w:t>
            </w:r>
          </w:p>
        </w:tc>
        <w:tc>
          <w:tcPr>
            <w:tcW w:type="dxa" w:w="1728"/>
          </w:tcPr>
          <w:p>
            <w:r>
              <w:t>11.91%</w:t>
            </w:r>
          </w:p>
        </w:tc>
        <w:tc>
          <w:tcPr>
            <w:tcW w:type="dxa" w:w="1728"/>
          </w:tcPr>
          <w:p>
            <w:r>
              <w:t>22.74%</w:t>
            </w:r>
          </w:p>
        </w:tc>
        <w:tc>
          <w:tcPr>
            <w:tcW w:type="dxa" w:w="1728"/>
          </w:tcPr>
          <w:p>
            <w:r>
              <w:t>0.523</w:t>
            </w:r>
          </w:p>
        </w:tc>
        <w:tc>
          <w:tcPr>
            <w:tcW w:type="dxa" w:w="1728"/>
          </w:tcPr>
          <w:p>
            <w:r>
              <w:t>-29.12%</w:t>
            </w:r>
          </w:p>
        </w:tc>
      </w:tr>
      <w:tr>
        <w:tc>
          <w:tcPr>
            <w:tcW w:type="dxa" w:w="1728"/>
          </w:tcPr>
          <w:p>
            <w:r>
              <w:t>Equal Weight</w:t>
            </w:r>
          </w:p>
        </w:tc>
        <w:tc>
          <w:tcPr>
            <w:tcW w:type="dxa" w:w="1728"/>
          </w:tcPr>
          <w:p>
            <w:r>
              <w:t>8.45%</w:t>
            </w:r>
          </w:p>
        </w:tc>
        <w:tc>
          <w:tcPr>
            <w:tcW w:type="dxa" w:w="1728"/>
          </w:tcPr>
          <w:p>
            <w:r>
              <w:t>10.15%</w:t>
            </w:r>
          </w:p>
        </w:tc>
        <w:tc>
          <w:tcPr>
            <w:tcW w:type="dxa" w:w="1728"/>
          </w:tcPr>
          <w:p>
            <w:r>
              <w:t>0.430</w:t>
            </w:r>
          </w:p>
        </w:tc>
        <w:tc>
          <w:tcPr>
            <w:tcW w:type="dxa" w:w="1728"/>
          </w:tcPr>
          <w:p>
            <w:r>
              <w:t>-17.57%</w:t>
            </w:r>
          </w:p>
        </w:tc>
      </w:tr>
    </w:tbl>
    <w:p>
      <w:r>
        <w:t>Interpretation: Max Sharpe dominates risk-adjusted returns (1.163), but Risk Parity shows greater resilience in recession scenarios (commodities/gold hedge). Min Variance sacrifices return for safety.</w:t>
      </w:r>
    </w:p>
    <w:p>
      <w:r>
        <w:br w:type="page"/>
      </w:r>
    </w:p>
    <w:p>
      <w:pPr>
        <w:pStyle w:val="Heading1"/>
      </w:pPr>
      <w:r>
        <w:t>HIGH-LEVEL ARCHITECTURE</w:t>
      </w:r>
    </w:p>
    <w:p>
      <w:r>
        <w:t>The portfolio optimization pipeline follows this workflow:</w:t>
      </w:r>
    </w:p>
    <w:p>
      <w:pPr>
        <w:pStyle w:val="ListBullet"/>
      </w:pPr>
      <w:r>
        <w:rPr>
          <w:b/>
        </w:rPr>
        <w:t xml:space="preserve">DATA LAYER: </w:t>
      </w:r>
      <w:r>
        <w:t>Yahoo Finance → 8 ETF prices (5 years, 1253 trading days)</w:t>
      </w:r>
    </w:p>
    <w:p>
      <w:pPr>
        <w:pStyle w:val="ListBullet"/>
      </w:pPr>
      <w:r>
        <w:rPr>
          <w:b/>
        </w:rPr>
        <w:t xml:space="preserve">PREPROCESSING: </w:t>
      </w:r>
      <w:r>
        <w:t>Daily returns → Annualized returns/vol → Covariance matrix</w:t>
      </w:r>
    </w:p>
    <w:p>
      <w:pPr>
        <w:pStyle w:val="ListBullet"/>
      </w:pPr>
      <w:r>
        <w:rPr>
          <w:b/>
        </w:rPr>
        <w:t xml:space="preserve">OPTIMIZATION: </w:t>
      </w:r>
      <w:r>
        <w:t>Three parallel solvers: Min Variance, Max Sharpe, Risk Parity</w:t>
      </w:r>
    </w:p>
    <w:p>
      <w:pPr>
        <w:pStyle w:val="ListBullet"/>
      </w:pPr>
      <w:r>
        <w:rPr>
          <w:b/>
        </w:rPr>
        <w:t xml:space="preserve">ANALYSIS: </w:t>
      </w:r>
      <w:r>
        <w:t>Efficient frontier, backtesting, stress testing across 5 scenarios</w:t>
      </w:r>
    </w:p>
    <w:p>
      <w:pPr>
        <w:pStyle w:val="ListBullet"/>
      </w:pPr>
      <w:r>
        <w:rPr>
          <w:b/>
        </w:rPr>
        <w:t xml:space="preserve">REPORTING: </w:t>
      </w:r>
      <w:r>
        <w:t>Visualizations, metrics, and institutional-grade outputs</w:t>
      </w:r>
    </w:p>
    <w:p>
      <w:r>
        <w:br w:type="page"/>
      </w:r>
    </w:p>
    <w:p>
      <w:pPr>
        <w:pStyle w:val="Heading1"/>
      </w:pPr>
      <w:r>
        <w:t>COMPLETE CODE BREAKDOWN</w:t>
      </w:r>
    </w:p>
    <w:p>
      <w:pPr>
        <w:pStyle w:val="Heading2"/>
      </w:pPr>
      <w:r>
        <w:t>PART 1: Data Pipeline (Cell 3)</w:t>
      </w:r>
    </w:p>
    <w:p>
      <w:r>
        <w:t>The first step downloads historical price data and computes key statistics:</w:t>
      </w:r>
    </w:p>
    <w:p>
      <w:pPr>
        <w:pStyle w:val="IntenseQuote"/>
        <w:ind w:left="360"/>
      </w:pPr>
      <w:r>
        <w:t># Define the asset universe</w:t>
        <w:br/>
        <w:t>ASSET_CLASSES = {</w:t>
        <w:br/>
        <w:t xml:space="preserve">    'Equities US': 'SPY',</w:t>
        <w:br/>
        <w:t xml:space="preserve">    'Equities Intl': 'EFA',</w:t>
        <w:br/>
        <w:t xml:space="preserve">    'Equities EM': 'EEM',</w:t>
        <w:br/>
        <w:t xml:space="preserve">    'Bonds US': 'BND',</w:t>
        <w:br/>
        <w:t xml:space="preserve">    'Bonds Intl': 'BNDX',</w:t>
        <w:br/>
        <w:t xml:space="preserve">    'Real Estate': 'VNQ',</w:t>
        <w:br/>
        <w:t xml:space="preserve">    'Commodities': 'GSG',</w:t>
        <w:br/>
        <w:t xml:space="preserve">    'Gold': 'GLD'</w:t>
        <w:br/>
        <w:t>}</w:t>
        <w:br/>
        <w:br/>
        <w:t># Download 5 years of data</w:t>
        <w:br/>
        <w:t>end_date = datetime.now()</w:t>
        <w:br/>
        <w:t>start_date = end_date - timedelta(days=5*365)</w:t>
        <w:br/>
        <w:br/>
        <w:t># Fetch and combine</w:t>
        <w:br/>
        <w:t>data = pd.concat([yf.download(t, start_date, end_date)</w:t>
        <w:br/>
        <w:t xml:space="preserve">                  for t in ASSET_CLASSES.values()], axis=1)</w:t>
        <w:br/>
        <w:br/>
        <w:t># Compute returns and statistics</w:t>
        <w:br/>
        <w:t>daily_returns = data.pct_change().dropna()</w:t>
        <w:br/>
        <w:t>annual_returns = daily_returns.mean() * 252</w:t>
        <w:br/>
        <w:t>annual_vol = daily_returns.std() * np.sqrt(252)</w:t>
        <w:br/>
        <w:t>covariance_matrix = daily_returns.cov() * 252</w:t>
        <w:br/>
      </w:r>
    </w:p>
    <w:p>
      <w:pPr>
        <w:pStyle w:val="Heading3"/>
      </w:pPr>
      <w:r>
        <w:t>Key Concepts in Data Pipeline</w:t>
      </w:r>
    </w:p>
    <w:p>
      <w:pPr>
        <w:pStyle w:val="ListBullet"/>
      </w:pPr>
      <w:r>
        <w:rPr>
          <w:b/>
        </w:rPr>
        <w:t xml:space="preserve">Adjusted Close: </w:t>
      </w:r>
      <w:r>
        <w:t>Accounts for stock splits and dividend distributions. We use this instead of raw Close price.</w:t>
      </w:r>
    </w:p>
    <w:p>
      <w:pPr>
        <w:pStyle w:val="ListBullet"/>
      </w:pPr>
      <w:r>
        <w:rPr>
          <w:b/>
        </w:rPr>
        <w:t xml:space="preserve">Annualization (252): </w:t>
      </w:r>
      <w:r>
        <w:t>There are 252 trading days per year in US markets. Daily Return × 252 = Annual Return.</w:t>
      </w:r>
    </w:p>
    <w:p>
      <w:pPr>
        <w:pStyle w:val="ListBullet"/>
      </w:pPr>
      <w:r>
        <w:rPr>
          <w:b/>
        </w:rPr>
        <w:t xml:space="preserve">Volatility Scaling (√252): </w:t>
      </w:r>
      <w:r>
        <w:t>Volatility scales with √T, not linearly. Daily Vol × √252 = Annual Vol.</w:t>
      </w:r>
    </w:p>
    <w:p>
      <w:pPr>
        <w:pStyle w:val="ListBullet"/>
      </w:pPr>
      <w:r>
        <w:rPr>
          <w:b/>
        </w:rPr>
        <w:t xml:space="preserve">Covariance Matrix: </w:t>
      </w:r>
      <w:r>
        <w:t>Σ[i,j] = correlation between asset i and j. Used to compute portfolio volatility.</w:t>
      </w:r>
    </w:p>
    <w:p>
      <w:r>
        <w:br w:type="page"/>
      </w:r>
    </w:p>
    <w:p>
      <w:pPr>
        <w:pStyle w:val="Heading2"/>
      </w:pPr>
      <w:r>
        <w:t>PART 2: Portfolio Optimization Functions (Cell 4)</w:t>
      </w:r>
    </w:p>
    <w:p>
      <w:r>
        <w:t>Three portfolio optimization strategies are implemented:</w:t>
      </w:r>
    </w:p>
    <w:p>
      <w:pPr>
        <w:pStyle w:val="Heading3"/>
      </w:pPr>
      <w:r>
        <w:t>Portfolio Statistics Function</w:t>
      </w:r>
    </w:p>
    <w:p>
      <w:pPr>
        <w:pStyle w:val="IntenseQuote"/>
        <w:ind w:left="360"/>
      </w:pPr>
      <w:r>
        <w:t>def portfolio_stats(weights, returns, cov_matrix, rf_rate):</w:t>
        <w:br/>
        <w:t xml:space="preserve">    """Calculate portfolio return, volatility, and Sharpe ratio."""</w:t>
        <w:br/>
        <w:t xml:space="preserve">    portfolio_return = np.sum(weights * returns)</w:t>
        <w:br/>
        <w:t xml:space="preserve">    portfolio_vol = np.sqrt(np.dot(weights, </w:t>
        <w:br/>
        <w:t xml:space="preserve">                                    np.dot(cov_matrix, weights)))</w:t>
        <w:br/>
        <w:t xml:space="preserve">    sharpe_ratio = (portfolio_return - rf_rate) / portfolio_vol</w:t>
        <w:br/>
        <w:t xml:space="preserve">    return portfolio_return, portfolio_vol, sharpe_ratio</w:t>
      </w:r>
    </w:p>
    <w:p>
      <w:r>
        <w:t>Expected return = weighted sum of asset returns. Portfolio volatility uses the variance-covariance matrix: σ_p = √(w^T × Σ × w). Sharpe ratio measures excess return per unit of risk.</w:t>
      </w:r>
    </w:p>
    <w:p>
      <w:pPr>
        <w:pStyle w:val="Heading3"/>
      </w:pPr>
      <w:r>
        <w:t>Optimization Objectives</w:t>
      </w:r>
    </w:p>
    <w:p>
      <w:pPr>
        <w:pStyle w:val="ListBullet"/>
      </w:pPr>
      <w:r>
        <w:rPr>
          <w:b/>
        </w:rPr>
        <w:t xml:space="preserve">Minimum Variance: </w:t>
      </w:r>
      <w:r>
        <w:t>Minimize portfolio volatility (safest allocation)</w:t>
      </w:r>
    </w:p>
    <w:p>
      <w:pPr>
        <w:pStyle w:val="ListBullet"/>
      </w:pPr>
      <w:r>
        <w:rPr>
          <w:b/>
        </w:rPr>
        <w:t xml:space="preserve">Maximum Sharpe: </w:t>
      </w:r>
      <w:r>
        <w:t>Minimize negative Sharpe ratio (best risk-adjusted returns)</w:t>
      </w:r>
    </w:p>
    <w:p>
      <w:pPr>
        <w:pStyle w:val="ListBullet"/>
      </w:pPr>
      <w:r>
        <w:rPr>
          <w:b/>
        </w:rPr>
        <w:t xml:space="preserve">Risk Parity: </w:t>
      </w:r>
      <w:r>
        <w:t>Iteratively equalize risk contribution per asset</w:t>
      </w:r>
    </w:p>
    <w:p/>
    <w:p>
      <w:r>
        <w:t>⚠️ WARNING: The Risk Parity algorithm can diverge numerically (produces weights like 1.0e-80 and 1.0e+100). A robust version should use constrained optimization instead of the iterative inversion approach.</w:t>
      </w:r>
    </w:p>
    <w:p>
      <w:r>
        <w:br w:type="page"/>
      </w:r>
    </w:p>
    <w:p>
      <w:pPr>
        <w:pStyle w:val="Heading2"/>
      </w:pPr>
      <w:r>
        <w:t>PART 3: Efficient Frontier (Cell 7)</w:t>
      </w:r>
    </w:p>
    <w:p>
      <w:r>
        <w:t>For 100 target returns, solve: "What is the minimum volatility portfolio that hits that return?" This generates the efficient frontier.</w:t>
      </w:r>
    </w:p>
    <w:p>
      <w:pPr>
        <w:pStyle w:val="IntenseQuote"/>
        <w:ind w:left="360"/>
      </w:pPr>
      <w:r>
        <w:t>for target_ret in target_returns:</w:t>
        <w:br/>
        <w:t xml:space="preserve">    constraints = [</w:t>
        <w:br/>
        <w:t xml:space="preserve">        {'type': 'eq', 'fun': lambda w: np.sum(w) - 1},</w:t>
        <w:br/>
        <w:t xml:space="preserve">        {'type': 'eq', </w:t>
        <w:br/>
        <w:t xml:space="preserve">         'fun': lambda w: np.dot(w, returns) - target_ret}</w:t>
        <w:br/>
        <w:t xml:space="preserve">    ]</w:t>
        <w:br/>
        <w:t xml:space="preserve">    result = minimize(portfolio_volatility, </w:t>
        <w:br/>
        <w:t xml:space="preserve">                     constraints=constraints, bounds=bounds)</w:t>
        <w:br/>
        <w:t xml:space="preserve">    frontier_vols.append(result)</w:t>
        <w:br/>
        <w:t xml:space="preserve">    frontier_returns.append(target_ret)</w:t>
      </w:r>
    </w:p>
    <w:p>
      <w:r>
        <w:t>The efficient frontier is a Pareto set: no portfolio can achieve higher return at the same volatility. The Maximum Sharpe portfolio is where a tangent line from the risk-free rate touches the frontier.</w:t>
      </w:r>
    </w:p>
    <w:p>
      <w:r>
        <w:br w:type="page"/>
      </w:r>
    </w:p>
    <w:p>
      <w:pPr>
        <w:pStyle w:val="Heading2"/>
      </w:pPr>
      <w:r>
        <w:t>PART 4: Backtesting (Cell 11)</w:t>
      </w:r>
    </w:p>
    <w:p>
      <w:r>
        <w:t>Simulate holding each portfolio over the historical 5-year period:</w:t>
      </w:r>
    </w:p>
    <w:p>
      <w:pPr>
        <w:pStyle w:val="IntenseQuote"/>
        <w:ind w:left="360"/>
      </w:pPr>
      <w:r>
        <w:t>def backtest_portfolio(weights, returns_df, initial_capital=100000):</w:t>
        <w:br/>
        <w:t xml:space="preserve">    portfolio_returns = (returns_df * weights).sum(axis=1)</w:t>
        <w:br/>
        <w:t xml:space="preserve">    cumulative_returns = (1 + portfolio_returns).cumprod()</w:t>
        <w:br/>
        <w:t xml:space="preserve">    portfolio_values = initial_capital * cumulative_returns</w:t>
        <w:br/>
        <w:t xml:space="preserve">    return portfolio_values, cumulative_returns, portfolio_returns</w:t>
      </w:r>
    </w:p>
    <w:p/>
    <w:p>
      <w:pPr>
        <w:pStyle w:val="Heading3"/>
      </w:pPr>
      <w:r>
        <w:t>Performance Metrics Calculated:</w:t>
      </w:r>
    </w:p>
    <w:p>
      <w:pPr>
        <w:pStyle w:val="ListBullet"/>
      </w:pPr>
      <w:r>
        <w:rPr>
          <w:b/>
        </w:rPr>
        <w:t xml:space="preserve">Total Return: </w:t>
      </w:r>
      <w:r>
        <w:t>(Final Value / Initial Value) - 1</w:t>
      </w:r>
    </w:p>
    <w:p>
      <w:pPr>
        <w:pStyle w:val="ListBullet"/>
      </w:pPr>
      <w:r>
        <w:rPr>
          <w:b/>
        </w:rPr>
        <w:t xml:space="preserve">Annual Return: </w:t>
      </w:r>
      <w:r>
        <w:t>(Final / Initial) ^ (1/years) - 1</w:t>
      </w:r>
    </w:p>
    <w:p>
      <w:pPr>
        <w:pStyle w:val="ListBullet"/>
      </w:pPr>
      <w:r>
        <w:rPr>
          <w:b/>
        </w:rPr>
        <w:t xml:space="preserve">Volatility: </w:t>
      </w:r>
      <w:r>
        <w:t>Daily volatility × √252</w:t>
      </w:r>
    </w:p>
    <w:p>
      <w:pPr>
        <w:pStyle w:val="ListBullet"/>
      </w:pPr>
      <w:r>
        <w:rPr>
          <w:b/>
        </w:rPr>
        <w:t xml:space="preserve">Sharpe Ratio: </w:t>
      </w:r>
      <w:r>
        <w:t>(Annual Return - Risk-Free Rate) / Volatility</w:t>
      </w:r>
    </w:p>
    <w:p>
      <w:pPr>
        <w:pStyle w:val="ListBullet"/>
      </w:pPr>
      <w:r>
        <w:rPr>
          <w:b/>
        </w:rPr>
        <w:t xml:space="preserve">Max Drawdown: </w:t>
      </w:r>
      <w:r>
        <w:t>Minimum (Portfolio Value - Running Peak) / Running Peak</w:t>
      </w:r>
    </w:p>
    <w:p>
      <w:pPr>
        <w:pStyle w:val="ListBullet"/>
      </w:pPr>
      <w:r>
        <w:rPr>
          <w:b/>
        </w:rPr>
        <w:t xml:space="preserve">Win Rate: </w:t>
      </w:r>
      <w:r>
        <w:t>% of days with positive returns</w:t>
      </w:r>
    </w:p>
    <w:p/>
    <w:p>
      <w:r>
        <w:t>⚠️ IMPORTANT ASSUMPTION: Weights are FIXED (no rebalancing). In reality, as market prices change, weights drift, and you'd rebalance monthly/quarterly. This assumption overstates returns by 20–50 bps annually due to ignored rebalancing drag.</w:t>
      </w:r>
    </w:p>
    <w:p>
      <w:r>
        <w:br w:type="page"/>
      </w:r>
    </w:p>
    <w:p>
      <w:pPr>
        <w:pStyle w:val="Heading2"/>
      </w:pPr>
      <w:r>
        <w:t>PART 5: Stress Testing (Cell 14)</w:t>
      </w:r>
    </w:p>
    <w:p>
      <w:r>
        <w:t>Test portfolio performance under different market regimes (Recession, Rising Rates, etc.):</w:t>
      </w:r>
    </w:p>
    <w:p>
      <w:pPr>
        <w:pStyle w:val="Heading3"/>
      </w:pPr>
      <w:r>
        <w:t>Stress Scenarios:</w:t>
      </w:r>
    </w:p>
    <w:p>
      <w:pPr>
        <w:pStyle w:val="ListBullet"/>
      </w:pPr>
      <w:r>
        <w:rPr>
          <w:b/>
        </w:rPr>
        <w:t xml:space="preserve">Normal Market: </w:t>
      </w:r>
      <w:r>
        <w:t>Baseline returns unchanged</w:t>
      </w:r>
    </w:p>
    <w:p>
      <w:pPr>
        <w:pStyle w:val="ListBullet"/>
      </w:pPr>
      <w:r>
        <w:rPr>
          <w:b/>
        </w:rPr>
        <w:t xml:space="preserve">Volatility Spike: </w:t>
      </w:r>
      <w:r>
        <w:t>Equities -5%, vol 2.5x, correlations +30%</w:t>
      </w:r>
    </w:p>
    <w:p>
      <w:pPr>
        <w:pStyle w:val="ListBullet"/>
      </w:pPr>
      <w:r>
        <w:rPr>
          <w:b/>
        </w:rPr>
        <w:t xml:space="preserve">Rising Rates: </w:t>
      </w:r>
      <w:r>
        <w:t>Equities -10%, bonds suffer -5% additional</w:t>
      </w:r>
    </w:p>
    <w:p>
      <w:pPr>
        <w:pStyle w:val="ListBullet"/>
      </w:pPr>
      <w:r>
        <w:rPr>
          <w:b/>
        </w:rPr>
        <w:t xml:space="preserve">Recession: </w:t>
      </w:r>
      <w:r>
        <w:t>Equities -15%, but gold/commodities hedge (+20%–30%)</w:t>
      </w:r>
    </w:p>
    <w:p>
      <w:pPr>
        <w:pStyle w:val="ListBullet"/>
      </w:pPr>
      <w:r>
        <w:rPr>
          <w:b/>
        </w:rPr>
        <w:t xml:space="preserve">Risk-Off: </w:t>
      </w:r>
      <w:r>
        <w:t>Equities -10%, everything correlates toward 1</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Min Variance</w:t>
            </w:r>
          </w:p>
        </w:tc>
        <w:tc>
          <w:tcPr>
            <w:tcW w:type="dxa" w:w="1728"/>
          </w:tcPr>
          <w:p>
            <w:r>
              <w:t>Max Sharpe</w:t>
            </w:r>
          </w:p>
        </w:tc>
        <w:tc>
          <w:tcPr>
            <w:tcW w:type="dxa" w:w="1728"/>
          </w:tcPr>
          <w:p>
            <w:r>
              <w:t>Risk Parity</w:t>
            </w:r>
          </w:p>
        </w:tc>
        <w:tc>
          <w:tcPr>
            <w:tcW w:type="dxa" w:w="1728"/>
          </w:tcPr>
          <w:p>
            <w:r>
              <w:t>Equal Weight</w:t>
            </w:r>
          </w:p>
        </w:tc>
      </w:tr>
      <w:tr>
        <w:tc>
          <w:tcPr>
            <w:tcW w:type="dxa" w:w="1728"/>
          </w:tcPr>
          <w:p>
            <w:r>
              <w:t>Recession Return</w:t>
            </w:r>
          </w:p>
        </w:tc>
        <w:tc>
          <w:tcPr>
            <w:tcW w:type="dxa" w:w="1728"/>
          </w:tcPr>
          <w:p>
            <w:r>
              <w:t>1.73%</w:t>
            </w:r>
          </w:p>
        </w:tc>
        <w:tc>
          <w:tcPr>
            <w:tcW w:type="dxa" w:w="1728"/>
          </w:tcPr>
          <w:p>
            <w:r>
              <w:t>12.29%</w:t>
            </w:r>
          </w:p>
        </w:tc>
        <w:tc>
          <w:tcPr>
            <w:tcW w:type="dxa" w:w="1728"/>
          </w:tcPr>
          <w:p>
            <w:r>
              <w:t>18.09%</w:t>
            </w:r>
          </w:p>
        </w:tc>
        <w:tc>
          <w:tcPr>
            <w:tcW w:type="dxa" w:w="1728"/>
          </w:tcPr>
          <w:p>
            <w:r>
              <w:t>5.04%</w:t>
            </w:r>
          </w:p>
        </w:tc>
      </w:tr>
      <w:tr>
        <w:tc>
          <w:tcPr>
            <w:tcW w:type="dxa" w:w="1728"/>
          </w:tcPr>
          <w:p>
            <w:r>
              <w:t>Rising Rates Return</w:t>
            </w:r>
          </w:p>
        </w:tc>
        <w:tc>
          <w:tcPr>
            <w:tcW w:type="dxa" w:w="1728"/>
          </w:tcPr>
          <w:p>
            <w:r>
              <w:t>1.07%</w:t>
            </w:r>
          </w:p>
        </w:tc>
        <w:tc>
          <w:tcPr>
            <w:tcW w:type="dxa" w:w="1728"/>
          </w:tcPr>
          <w:p>
            <w:r>
              <w:t>15.28%</w:t>
            </w:r>
          </w:p>
        </w:tc>
        <w:tc>
          <w:tcPr>
            <w:tcW w:type="dxa" w:w="1728"/>
          </w:tcPr>
          <w:p>
            <w:r>
              <w:t>13.92%</w:t>
            </w:r>
          </w:p>
        </w:tc>
        <w:tc>
          <w:tcPr>
            <w:tcW w:type="dxa" w:w="1728"/>
          </w:tcPr>
          <w:p>
            <w:r>
              <w:t>8.17%</w:t>
            </w:r>
          </w:p>
        </w:tc>
      </w:tr>
      <w:tr>
        <w:tc>
          <w:tcPr>
            <w:tcW w:type="dxa" w:w="1728"/>
          </w:tcPr>
          <w:p>
            <w:r>
              <w:t>Volatility Spike Return</w:t>
            </w:r>
          </w:p>
        </w:tc>
        <w:tc>
          <w:tcPr>
            <w:tcW w:type="dxa" w:w="1728"/>
          </w:tcPr>
          <w:p>
            <w:r>
              <w:t>1.66%</w:t>
            </w:r>
          </w:p>
        </w:tc>
        <w:tc>
          <w:tcPr>
            <w:tcW w:type="dxa" w:w="1728"/>
          </w:tcPr>
          <w:p>
            <w:r>
              <w:t>15.53%</w:t>
            </w:r>
          </w:p>
        </w:tc>
        <w:tc>
          <w:tcPr>
            <w:tcW w:type="dxa" w:w="1728"/>
          </w:tcPr>
          <w:p>
            <w:r>
              <w:t>13.92%</w:t>
            </w:r>
          </w:p>
        </w:tc>
        <w:tc>
          <w:tcPr>
            <w:tcW w:type="dxa" w:w="1728"/>
          </w:tcPr>
          <w:p>
            <w:r>
              <w:t>8.49%</w:t>
            </w:r>
          </w:p>
        </w:tc>
      </w:tr>
      <w:tr>
        <w:tc>
          <w:tcPr>
            <w:tcW w:type="dxa" w:w="1728"/>
          </w:tcPr>
          <w:p>
            <w:r>
              <w:t>Risk-Off Return</w:t>
            </w:r>
          </w:p>
        </w:tc>
        <w:tc>
          <w:tcPr>
            <w:tcW w:type="dxa" w:w="1728"/>
          </w:tcPr>
          <w:p>
            <w:r>
              <w:t>1.46%</w:t>
            </w:r>
          </w:p>
        </w:tc>
        <w:tc>
          <w:tcPr>
            <w:tcW w:type="dxa" w:w="1728"/>
          </w:tcPr>
          <w:p>
            <w:r>
              <w:t>10.22%</w:t>
            </w:r>
          </w:p>
        </w:tc>
        <w:tc>
          <w:tcPr>
            <w:tcW w:type="dxa" w:w="1728"/>
          </w:tcPr>
          <w:p>
            <w:r>
              <w:t>13.92%</w:t>
            </w:r>
          </w:p>
        </w:tc>
        <w:tc>
          <w:tcPr>
            <w:tcW w:type="dxa" w:w="1728"/>
          </w:tcPr>
          <w:p>
            <w:r>
              <w:t>4.27%</w:t>
            </w:r>
          </w:p>
        </w:tc>
      </w:tr>
      <w:tr>
        <w:tc>
          <w:tcPr>
            <w:tcW w:type="dxa" w:w="1728"/>
          </w:tcPr>
          <w:p>
            <w:r>
              <w:t>Normal Market Return</w:t>
            </w:r>
          </w:p>
        </w:tc>
        <w:tc>
          <w:tcPr>
            <w:tcW w:type="dxa" w:w="1728"/>
          </w:tcPr>
          <w:p>
            <w:r>
              <w:t>1.67%</w:t>
            </w:r>
          </w:p>
        </w:tc>
        <w:tc>
          <w:tcPr>
            <w:tcW w:type="dxa" w:w="1728"/>
          </w:tcPr>
          <w:p>
            <w:r>
              <w:t>15.79%</w:t>
            </w:r>
          </w:p>
        </w:tc>
        <w:tc>
          <w:tcPr>
            <w:tcW w:type="dxa" w:w="1728"/>
          </w:tcPr>
          <w:p>
            <w:r>
              <w:t>13.92%</w:t>
            </w:r>
          </w:p>
        </w:tc>
        <w:tc>
          <w:tcPr>
            <w:tcW w:type="dxa" w:w="1728"/>
          </w:tcPr>
          <w:p>
            <w:r>
              <w:t>8.70%</w:t>
            </w:r>
          </w:p>
        </w:tc>
      </w:tr>
    </w:tbl>
    <w:p/>
    <w:p>
      <w:r>
        <w:t>Key Insight: Risk Parity outperforms in recession (gold/commodity hedge), while Max Sharpe suffers due to equity exposure. Min Variance is resilient everywhere but sacrifices returns.</w:t>
      </w:r>
    </w:p>
    <w:p>
      <w:r>
        <w:br w:type="page"/>
      </w:r>
    </w:p>
    <w:p>
      <w:pPr>
        <w:pStyle w:val="Heading1"/>
      </w:pPr>
      <w:r>
        <w:t>MATHEMATICAL FOUNDATIONS</w:t>
      </w:r>
    </w:p>
    <w:p>
      <w:pPr>
        <w:pStyle w:val="Heading2"/>
      </w:pPr>
      <w:r>
        <w:t>Portfolio Return</w:t>
      </w:r>
    </w:p>
    <w:p>
      <w:r>
        <w:t>μ_p = Σ w_i × μ_i</w:t>
      </w:r>
    </w:p>
    <w:p>
      <w:r>
        <w:t>Where μ_p is portfolio expected return, w_i is weight of asset i, μ_i is expected return of asset i.</w:t>
      </w:r>
    </w:p>
    <w:p>
      <w:pPr>
        <w:pStyle w:val="Heading2"/>
      </w:pPr>
      <w:r>
        <w:t>Portfolio Variance (Volatility)</w:t>
      </w:r>
    </w:p>
    <w:p>
      <w:r>
        <w:t>σ_p² = w^T × Σ × w</w:t>
      </w:r>
    </w:p>
    <w:p>
      <w:r>
        <w:t>Where Σ is the covariance matrix. Includes diversification benefit: when Cov(i,j) is small or negative, portfolio volatility is much lower than weighted-average volatility.</w:t>
      </w:r>
    </w:p>
    <w:p>
      <w:pPr>
        <w:pStyle w:val="Heading2"/>
      </w:pPr>
      <w:r>
        <w:t>Sharpe Ratio</w:t>
      </w:r>
    </w:p>
    <w:p>
      <w:r>
        <w:t>SR = (μ_p - r_f) / σ_p</w:t>
      </w:r>
    </w:p>
    <w:p>
      <w:r>
        <w:t>Measures excess return per unit of risk. Higher Sharpe indicates better risk-adjusted returns.</w:t>
      </w:r>
    </w:p>
    <w:p>
      <w:pPr>
        <w:pStyle w:val="Heading2"/>
      </w:pPr>
      <w:r>
        <w:t>Risk-Parity Concept</w:t>
      </w:r>
    </w:p>
    <w:p>
      <w:r>
        <w:t>Allocate so each asset contributes equally to portfolio risk (not equal dollar amounts). If asset i is volatile, hold less of it; if asset i is stable, hold more of it. Result: Balanced risk exposure across all assets.</w:t>
      </w:r>
    </w:p>
    <w:p>
      <w:r>
        <w:br w:type="page"/>
      </w:r>
    </w:p>
    <w:p>
      <w:pPr>
        <w:pStyle w:val="Heading1"/>
      </w:pPr>
      <w:r>
        <w:t>BUGS, GAPS &amp; INSTITUTIONAL ISSUES</w:t>
      </w:r>
    </w:p>
    <w:p>
      <w:pPr>
        <w:pStyle w:val="Heading2"/>
      </w:pPr>
      <w:r>
        <w:t>🔴 CRITICAL: Risk Parity Algorithm Broken</w:t>
      </w:r>
    </w:p>
    <w:p>
      <w:r>
        <w:t>Problem: The iterative algorithm produces numerical overflow/underflow (weights like 1.0e-80, 1.0e+100). Root cause: when risk_contrib → 0, then 1.0/risk_contrib → ∞.</w:t>
      </w:r>
    </w:p>
    <w:p>
      <w:r>
        <w:t>Fix: Use constrained optimization instead of iterative inversion.</w:t>
      </w:r>
    </w:p>
    <w:p>
      <w:pPr>
        <w:pStyle w:val="Heading2"/>
      </w:pPr>
      <w:r>
        <w:t>⚠️ Moderate Issue 1: No Rebalancing in Backtest</w:t>
      </w:r>
    </w:p>
    <w:p>
      <w:r>
        <w:t>Current code assumes fixed weights. In reality, as markets move, weights drift. A 60/40 portfolio becomes 65/35 after equities outperform. You'd rebalance monthly/quarterly.</w:t>
      </w:r>
    </w:p>
    <w:p>
      <w:r>
        <w:t>Impact: Backtest overstates returns by 20–50 bps annually due to ignored rebalancing drag.</w:t>
      </w:r>
    </w:p>
    <w:p>
      <w:pPr>
        <w:pStyle w:val="Heading2"/>
      </w:pPr>
      <w:r>
        <w:t>⚠️ Moderate Issue 2: No Transaction Costs</w:t>
      </w:r>
    </w:p>
    <w:p>
      <w:r>
        <w:t>Real costs: bid-ask spreads (1–200 bps depending on asset), market impact (0.1%–1%), commissions (1–10 bps). Rebalancing a $1B portfolio costs 30–100 bps.</w:t>
      </w:r>
    </w:p>
    <w:p>
      <w:pPr>
        <w:pStyle w:val="Heading2"/>
      </w:pPr>
      <w:r>
        <w:t>⚠️ Moderate Issue 3: Historical Covariance Unstable</w:t>
      </w:r>
    </w:p>
    <w:p>
      <w:r>
        <w:t>Covariance changes dramatically in stress. In 2022 (rising rates), bonds and stocks BOTH crashed (positive correlation). Using 5-year history masks this regime shift.</w:t>
      </w:r>
    </w:p>
    <w:p>
      <w:r>
        <w:t>Fix: Use rolling 1-year covariance window instead of entire history.</w:t>
      </w:r>
    </w:p>
    <w:p>
      <w:pPr>
        <w:pStyle w:val="Heading2"/>
      </w:pPr>
      <w:r>
        <w:t>⚠️ Minor Issues</w:t>
      </w:r>
    </w:p>
    <w:p>
      <w:pPr>
        <w:pStyle w:val="ListBullet"/>
      </w:pPr>
      <w:r>
        <w:t>Stress scenarios use hand-wavy multipliers (e.g., "+30% commodities in recession") not calibrated to historical data</w:t>
      </w:r>
    </w:p>
    <w:p>
      <w:pPr>
        <w:pStyle w:val="ListBullet"/>
      </w:pPr>
      <w:r>
        <w:t>Risk-free rate fixed at 4.5% (10-year Treasury actually fluctuates)</w:t>
      </w:r>
    </w:p>
    <w:p>
      <w:pPr>
        <w:pStyle w:val="ListBullet"/>
      </w:pPr>
      <w:r>
        <w:t>No position size constraints (allows 100% in single asset)</w:t>
      </w:r>
    </w:p>
    <w:p>
      <w:pPr>
        <w:pStyle w:val="ListBullet"/>
      </w:pPr>
      <w:r>
        <w:t>No comparison to benchmarks (e.g., does this beat 60/40?)</w:t>
      </w:r>
    </w:p>
    <w:p>
      <w:r>
        <w:br w:type="page"/>
      </w:r>
    </w:p>
    <w:p>
      <w:pPr>
        <w:pStyle w:val="Heading1"/>
      </w:pPr>
      <w:r>
        <w:t>RECRUITING APPLICATIONS</w:t>
      </w:r>
    </w:p>
    <w:p>
      <w:pPr>
        <w:pStyle w:val="Heading2"/>
      </w:pPr>
      <w:r>
        <w:t>Investment Banking (CIB) — Moderate Fit</w:t>
      </w:r>
    </w:p>
    <w:p>
      <w:r>
        <w:t>Why this is relevant: You price and structure debt for institutional clients who use portfolio optimization. Understanding their constraints helps you structure better deals.</w:t>
      </w:r>
    </w:p>
    <w:p>
      <w:r>
        <w:t>Why it's NOT core IB: You don't use optimization to price a syndicated loan. You need DCF models and M&amp;A case studies more.</w:t>
      </w:r>
    </w:p>
    <w:p>
      <w:pPr>
        <w:pStyle w:val="Heading3"/>
      </w:pPr>
      <w:r>
        <w:t>How to position:</w:t>
      </w:r>
    </w:p>
    <w:p>
      <w:pPr>
        <w:pStyle w:val="IntenseQuote"/>
      </w:pPr>
      <w:r>
        <w:t>"I built a portfolio optimization framework to understand how institutional clients—the sophisticated allocators you work with—make capital allocation decisions. This taught me their constraints: return targets, risk budgets, diversification mandates. When we're structuring a facility for a pension fund, I understand their framework."</w:t>
      </w:r>
    </w:p>
    <w:p>
      <w:pPr>
        <w:pStyle w:val="Heading2"/>
      </w:pPr>
      <w:r>
        <w:t>Private Equity — Good Fit</w:t>
      </w:r>
    </w:p>
    <w:p>
      <w:r>
        <w:t>Why directly relevant: PE optimizes capital structure (leverage, debt tranches, equity) to maximize equity IRR. This is mathematically similar to portfolio optimization. Also, PE firms manage 15+ portfolio companies simultaneously and need stress testing frameworks.</w:t>
      </w:r>
    </w:p>
    <w:p>
      <w:pPr>
        <w:pStyle w:val="Heading3"/>
      </w:pPr>
      <w:r>
        <w:t>How to position:</w:t>
      </w:r>
    </w:p>
    <w:p>
      <w:pPr>
        <w:pStyle w:val="IntenseQuote"/>
      </w:pPr>
      <w:r>
        <w:t>"I built tools to stress-test a diversified portfolio across economic regimes—recession, rising rates, volatility spikes. In PE, this directly applies: understanding how your portfolio companies' leverage, sector concentration, and cash flows interact under stress. This framework translates to portfolio company risk management."</w:t>
      </w:r>
    </w:p>
    <w:p>
      <w:pPr>
        <w:pStyle w:val="Heading2"/>
      </w:pPr>
      <w:r>
        <w:t>Hedge Funds / Quantitative Trading / Asset Management — Excellent Fit</w:t>
      </w:r>
    </w:p>
    <w:p>
      <w:r>
        <w:t>This is where the project is core infrastructure. Bridgewater's risk-parity strategy is literally your algorithm. Two Sigma, Citadel, Jane Street, BlackRock, Vanguard all use this exact framework for portfolio construction.</w:t>
      </w:r>
    </w:p>
    <w:p>
      <w:pPr>
        <w:pStyle w:val="Heading3"/>
      </w:pPr>
      <w:r>
        <w:t>How to position:</w:t>
      </w:r>
    </w:p>
    <w:p>
      <w:pPr>
        <w:pStyle w:val="IntenseQuote"/>
      </w:pPr>
      <w:r>
        <w:t>"I implemented the complete portfolio construction pipeline: mean-variance optimization, risk-parity allocation, efficient frontier, 5-year backtesting, and multi-scenario stress testing. I identified institutional gaps—no transaction costs, unstable covariance, algorithm instability—and know how to fix them with shrinkage estimators and robust solvers. This is core infrastructure at quant asset management."</w:t>
      </w:r>
    </w:p>
    <w:p>
      <w:r>
        <w:br w:type="page"/>
      </w:r>
    </w:p>
    <w:p>
      <w:pPr>
        <w:pStyle w:val="Heading1"/>
      </w:pPr>
      <w:r>
        <w:t>PRODUCTION UPGRADES</w:t>
      </w:r>
    </w:p>
    <w:p>
      <w:pPr>
        <w:pStyle w:val="Heading2"/>
      </w:pPr>
      <w:r>
        <w:t>Upgrade 1: Robust Covariance (Ledoit-Wolf Shrinkage)</w:t>
      </w:r>
    </w:p>
    <w:p>
      <w:r>
        <w:t>Problem: Historical covariance is noisy, especially in small samples.</w:t>
      </w:r>
    </w:p>
    <w:p>
      <w:r>
        <w:t>Solution: Shrink toward identity matrix (no correlation) using Ledoit-Wolf estimator.</w:t>
      </w:r>
    </w:p>
    <w:p>
      <w:pPr>
        <w:pStyle w:val="IntenseQuote"/>
        <w:ind w:left="360"/>
      </w:pPr>
      <w:r>
        <w:t>from sklearn.covariance import LedoitWolf</w:t>
        <w:br/>
        <w:br/>
        <w:t>lw = LedoitWolf()</w:t>
        <w:br/>
        <w:t>cov_shrink, _ = lw.fit(daily_returns)</w:t>
        <w:br/>
        <w:t>cov_matrix_robust = cov_shrink * 252  # Annualize</w:t>
      </w:r>
    </w:p>
    <w:p>
      <w:r>
        <w:t>Why: Reduces estimation error. Used by all major quant shops for covariance estimation.</w:t>
      </w:r>
    </w:p>
    <w:p>
      <w:pPr>
        <w:pStyle w:val="Heading2"/>
      </w:pPr>
      <w:r>
        <w:t>Upgrade 2: Constrained Optimization</w:t>
      </w:r>
    </w:p>
    <w:p>
      <w:r>
        <w:t>Problem: Optimal allocation often violates practical constraints (e.g., "91.9% BNDX" is impossible to execute).</w:t>
      </w:r>
    </w:p>
    <w:p>
      <w:r>
        <w:t>Solution: Add constraints to optimizer: max 15% per position, max 40% in bonds, min return target.</w:t>
      </w:r>
    </w:p>
    <w:p>
      <w:pPr>
        <w:pStyle w:val="IntenseQuote"/>
        <w:ind w:left="360"/>
      </w:pPr>
      <w:r>
        <w:t>constraints = [</w:t>
        <w:br/>
        <w:t xml:space="preserve">    {'type': 'eq', 'fun': lambda w: np.sum(w) - 1},</w:t>
        <w:br/>
        <w:t xml:space="preserve">    {'type': 'ineq', 'fun': lambda w: np.dot(w, returns) - 0.06},  # Min 6% return</w:t>
        <w:br/>
        <w:t xml:space="preserve">    {'type': 'ineq', 'fun': lambda w: 0.40 - np.sum(w[[3,4]])},   # Max 40% bonds</w:t>
        <w:br/>
        <w:t>]</w:t>
        <w:br/>
        <w:t>bounds = Bounds(0, 0.15)  # Max 15% per position</w:t>
        <w:br/>
        <w:br/>
        <w:t>result = minimize(..., constraints=constraints, bounds=bounds)</w:t>
      </w:r>
    </w:p>
    <w:p>
      <w:pPr>
        <w:pStyle w:val="Heading2"/>
      </w:pPr>
      <w:r>
        <w:t>Upgrade 3: Transaction-Cost-Aware Backtesting</w:t>
      </w:r>
    </w:p>
    <w:p>
      <w:r>
        <w:t>Problem: Backtest ignores rebalancing costs (bid-ask, market impact). Real returns are 50–100 bps lower annually.</w:t>
      </w:r>
    </w:p>
    <w:p>
      <w:r>
        <w:t>Solution: Model rebalancing frequency and costs.</w:t>
      </w:r>
    </w:p>
    <w:p>
      <w:pPr>
        <w:pStyle w:val="IntenseQuote"/>
        <w:ind w:left="360"/>
      </w:pPr>
      <w:r>
        <w:t>for date in returns_df.index:</w:t>
        <w:br/>
        <w:t xml:space="preserve">    if should_rebalance(date):  # Monthly</w:t>
        <w:br/>
        <w:t xml:space="preserve">        turnover = sum(|target_weight - current_weight|) / 2</w:t>
        <w:br/>
        <w:t xml:space="preserve">        cost = turnover * (5 bps bid_ask + 10 bps impact)</w:t>
        <w:br/>
        <w:t xml:space="preserve">        portfolio_value *= (1 - cost)</w:t>
        <w:br/>
        <w:t xml:space="preserve">        current_weights = target_weights</w:t>
        <w:br/>
        <w:t xml:space="preserve">    </w:t>
        <w:br/>
        <w:t xml:space="preserve">    daily_ret = sum(returns * weights)</w:t>
        <w:br/>
        <w:t xml:space="preserve">    portfolio_value *= (1 + daily_ret)</w:t>
      </w:r>
    </w:p>
    <w:p>
      <w:r>
        <w:br w:type="page"/>
      </w:r>
    </w:p>
    <w:p>
      <w:pPr>
        <w:pStyle w:val="Heading1"/>
      </w:pPr>
      <w:r>
        <w:t>INTERVIEW TALKING POINTS</w:t>
      </w:r>
    </w:p>
    <w:p>
      <w:pPr>
        <w:pStyle w:val="Heading2"/>
      </w:pPr>
      <w:r>
        <w:t>For Investment Banking</w:t>
      </w:r>
    </w:p>
    <w:p>
      <w:pPr>
        <w:pStyle w:val="IntenseQuote"/>
      </w:pPr>
      <w:r>
        <w:t>"I built a portfolio optimization engine to understand how institutional clients—the sophisticated allocators you work with in debt structuring—make capital allocation decisions. It taught me that they're constantly optimizing along the efficient frontier, balancing return targets against risk budgets. When we're structuring a facility for a pension fund, I now understand their constraints and what makes a deal attractive from their perspective."</w:t>
      </w:r>
    </w:p>
    <w:p>
      <w:pPr>
        <w:pStyle w:val="Heading2"/>
      </w:pPr>
      <w:r>
        <w:t>For Private Equity</w:t>
      </w:r>
    </w:p>
    <w:p>
      <w:pPr>
        <w:pStyle w:val="IntenseQuote"/>
      </w:pPr>
      <w:r>
        <w:t>"I implemented the complete portfolio construction pipeline. In PE, this directly applies: you're optimizing capital structure (leverage, senior debt, equity) to maximize equity IRR subject to covenant constraints. I stress-tested portfolios across recession and rising-rate scenarios. That framework is exactly what PE needs when managing 15+ portfolio companies—understanding combined leverage risk and downside scenarios."</w:t>
      </w:r>
    </w:p>
    <w:p>
      <w:pPr>
        <w:pStyle w:val="Heading2"/>
      </w:pPr>
      <w:r>
        <w:t>For Quant/Hedge Funds</w:t>
      </w:r>
    </w:p>
    <w:p>
      <w:pPr>
        <w:pStyle w:val="IntenseQuote"/>
      </w:pPr>
      <w:r>
        <w:t>"I implemented Markowitz mean-variance optimization, risk-parity allocation, and efficient frontier generation. I backtested across 5 years of real data and stress-tested across recession and volatility scenarios. I've identified institutional gaps—no transaction costs, unstable covariance in stress, algorithm instability—and I know how to fix them with shrinkage estimators and robust solvers. This is core infrastructure at Bridgewater and Two Sigma."</w:t>
      </w:r>
    </w:p>
    <w:p>
      <w:r>
        <w:br w:type="page"/>
      </w:r>
    </w:p>
    <w:p>
      <w:pPr>
        <w:pStyle w:val="Heading1"/>
      </w:pPr>
      <w:r>
        <w:t>APPENDIX: KEY FORMULAS &amp; METRICS</w:t>
      </w:r>
    </w:p>
    <w:p>
      <w:pPr>
        <w:pStyle w:val="Heading2"/>
      </w:pPr>
      <w:r>
        <w:t>Core Formulas</w:t>
      </w:r>
    </w:p>
    <w:p>
      <w:pPr>
        <w:pStyle w:val="ListBullet"/>
      </w:pPr>
      <w:r>
        <w:rPr>
          <w:b/>
        </w:rPr>
        <w:t xml:space="preserve">Portfolio Return: </w:t>
      </w:r>
      <w:r>
        <w:t>μ_p = Σ w_i × μ_i</w:t>
      </w:r>
    </w:p>
    <w:p>
      <w:pPr>
        <w:pStyle w:val="ListBullet"/>
      </w:pPr>
      <w:r>
        <w:rPr>
          <w:b/>
        </w:rPr>
        <w:t xml:space="preserve">Portfolio Variance: </w:t>
      </w:r>
      <w:r>
        <w:t>σ_p² = w^T × Σ × w</w:t>
      </w:r>
    </w:p>
    <w:p>
      <w:pPr>
        <w:pStyle w:val="ListBullet"/>
      </w:pPr>
      <w:r>
        <w:rPr>
          <w:b/>
        </w:rPr>
        <w:t xml:space="preserve">Portfolio Volatility: </w:t>
      </w:r>
      <w:r>
        <w:t>σ_p = √(w^T × Σ × w)</w:t>
      </w:r>
    </w:p>
    <w:p>
      <w:pPr>
        <w:pStyle w:val="ListBullet"/>
      </w:pPr>
      <w:r>
        <w:rPr>
          <w:b/>
        </w:rPr>
        <w:t xml:space="preserve">Sharpe Ratio: </w:t>
      </w:r>
      <w:r>
        <w:t>SR = (μ_p - r_f) / σ_p</w:t>
      </w:r>
    </w:p>
    <w:p>
      <w:pPr>
        <w:pStyle w:val="ListBullet"/>
      </w:pPr>
      <w:r>
        <w:rPr>
          <w:b/>
        </w:rPr>
        <w:t xml:space="preserve">Annualization: </w:t>
      </w:r>
      <w:r>
        <w:t>Annual Return = Daily Return × 252</w:t>
      </w:r>
    </w:p>
    <w:p>
      <w:pPr>
        <w:pStyle w:val="ListBullet"/>
      </w:pPr>
      <w:r>
        <w:rPr>
          <w:b/>
        </w:rPr>
        <w:t xml:space="preserve">Vol Scaling: </w:t>
      </w:r>
      <w:r>
        <w:t>Annual Vol = Daily Vol × √252</w:t>
      </w:r>
    </w:p>
    <w:p>
      <w:pPr>
        <w:pStyle w:val="ListBullet"/>
      </w:pPr>
      <w:r>
        <w:rPr>
          <w:b/>
        </w:rPr>
        <w:t xml:space="preserve">Max Drawdown: </w:t>
      </w:r>
      <w:r>
        <w:t>min(Portfolio_Value - Peak) / Peak</w:t>
      </w:r>
    </w:p>
    <w:p>
      <w:pPr>
        <w:pStyle w:val="Heading2"/>
      </w:pPr>
      <w:r>
        <w:t>Key Metrics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Interpretation</w:t>
            </w:r>
          </w:p>
        </w:tc>
      </w:tr>
      <w:tr>
        <w:tc>
          <w:tcPr>
            <w:tcW w:type="dxa" w:w="2880"/>
          </w:tcPr>
          <w:p>
            <w:r>
              <w:t>Total Return</w:t>
            </w:r>
          </w:p>
        </w:tc>
        <w:tc>
          <w:tcPr>
            <w:tcW w:type="dxa" w:w="2880"/>
          </w:tcPr>
          <w:p>
            <w:r>
              <w:t>(End / Start) - 1</w:t>
            </w:r>
          </w:p>
        </w:tc>
        <w:tc>
          <w:tcPr>
            <w:tcW w:type="dxa" w:w="2880"/>
          </w:tcPr>
          <w:p>
            <w:r>
              <w:t>How much money did you make?</w:t>
            </w:r>
          </w:p>
        </w:tc>
      </w:tr>
      <w:tr>
        <w:tc>
          <w:tcPr>
            <w:tcW w:type="dxa" w:w="2880"/>
          </w:tcPr>
          <w:p>
            <w:r>
              <w:t>Annual Return</w:t>
            </w:r>
          </w:p>
        </w:tc>
        <w:tc>
          <w:tcPr>
            <w:tcW w:type="dxa" w:w="2880"/>
          </w:tcPr>
          <w:p>
            <w:r>
              <w:t>(End / Start)^(1/years) - 1</w:t>
            </w:r>
          </w:p>
        </w:tc>
        <w:tc>
          <w:tcPr>
            <w:tcW w:type="dxa" w:w="2880"/>
          </w:tcPr>
          <w:p>
            <w:r>
              <w:t>Compound annual growth rate</w:t>
            </w:r>
          </w:p>
        </w:tc>
      </w:tr>
      <w:tr>
        <w:tc>
          <w:tcPr>
            <w:tcW w:type="dxa" w:w="2880"/>
          </w:tcPr>
          <w:p>
            <w:r>
              <w:t>Volatility</w:t>
            </w:r>
          </w:p>
        </w:tc>
        <w:tc>
          <w:tcPr>
            <w:tcW w:type="dxa" w:w="2880"/>
          </w:tcPr>
          <w:p>
            <w:r>
              <w:t>Std Dev × √252</w:t>
            </w:r>
          </w:p>
        </w:tc>
        <w:tc>
          <w:tcPr>
            <w:tcW w:type="dxa" w:w="2880"/>
          </w:tcPr>
          <w:p>
            <w:r>
              <w:t>Risk / downside potential</w:t>
            </w:r>
          </w:p>
        </w:tc>
      </w:tr>
      <w:tr>
        <w:tc>
          <w:tcPr>
            <w:tcW w:type="dxa" w:w="2880"/>
          </w:tcPr>
          <w:p>
            <w:r>
              <w:t>Sharpe</w:t>
            </w:r>
          </w:p>
        </w:tc>
        <w:tc>
          <w:tcPr>
            <w:tcW w:type="dxa" w:w="2880"/>
          </w:tcPr>
          <w:p>
            <w:r>
              <w:t>(Return - Risk-Free) / Vol</w:t>
            </w:r>
          </w:p>
        </w:tc>
        <w:tc>
          <w:tcPr>
            <w:tcW w:type="dxa" w:w="2880"/>
          </w:tcPr>
          <w:p>
            <w:r>
              <w:t>Risk-adjusted return (higher is better)</w:t>
            </w:r>
          </w:p>
        </w:tc>
      </w:tr>
      <w:tr>
        <w:tc>
          <w:tcPr>
            <w:tcW w:type="dxa" w:w="2880"/>
          </w:tcPr>
          <w:p>
            <w:r>
              <w:t>Max Drawdown</w:t>
            </w:r>
          </w:p>
        </w:tc>
        <w:tc>
          <w:tcPr>
            <w:tcW w:type="dxa" w:w="2880"/>
          </w:tcPr>
          <w:p>
            <w:r>
              <w:t>min(Peak-to-Trough)</w:t>
            </w:r>
          </w:p>
        </w:tc>
        <w:tc>
          <w:tcPr>
            <w:tcW w:type="dxa" w:w="2880"/>
          </w:tcPr>
          <w:p>
            <w:r>
              <w:t>Psychological pain point</w:t>
            </w:r>
          </w:p>
        </w:tc>
      </w:tr>
      <w:tr>
        <w:tc>
          <w:tcPr>
            <w:tcW w:type="dxa" w:w="2880"/>
          </w:tcPr>
          <w:p>
            <w:r>
              <w:t>Win Rate</w:t>
            </w:r>
          </w:p>
        </w:tc>
        <w:tc>
          <w:tcPr>
            <w:tcW w:type="dxa" w:w="2880"/>
          </w:tcPr>
          <w:p>
            <w:r>
              <w:t>% Positive Days</w:t>
            </w:r>
          </w:p>
        </w:tc>
        <w:tc>
          <w:tcPr>
            <w:tcW w:type="dxa" w:w="2880"/>
          </w:tcPr>
          <w:p>
            <w:r>
              <w:t>Frequency of wins</w:t>
            </w:r>
          </w:p>
        </w:tc>
      </w:tr>
      <w:tr>
        <w:tc>
          <w:tcPr>
            <w:tcW w:type="dxa" w:w="2880"/>
          </w:tcPr>
          <w:p>
            <w:r>
              <w:t>Turnover</w:t>
            </w:r>
          </w:p>
        </w:tc>
        <w:tc>
          <w:tcPr>
            <w:tcW w:type="dxa" w:w="2880"/>
          </w:tcPr>
          <w:p>
            <w:r>
              <w:t>Σ|New Weight - Old Weight| / 2</w:t>
            </w:r>
          </w:p>
        </w:tc>
        <w:tc>
          <w:tcPr>
            <w:tcW w:type="dxa" w:w="2880"/>
          </w:tcPr>
          <w:p>
            <w:r>
              <w:t>Transaction cost exposure</w:t>
            </w:r>
          </w:p>
        </w:tc>
      </w:tr>
    </w:tbl>
    <w:p>
      <w:r>
        <w:br w:type="page"/>
      </w:r>
    </w:p>
    <w:p>
      <w:pPr>
        <w:pStyle w:val="Heading1"/>
      </w:pPr>
      <w:r>
        <w:t>CONCLUSION</w:t>
      </w:r>
    </w:p>
    <w:p>
      <w:pPr>
        <w:pStyle w:val="Heading2"/>
      </w:pPr>
      <w:r>
        <w:t>What This Project Demonstrates</w:t>
      </w:r>
    </w:p>
    <w:p>
      <w:pPr>
        <w:pStyle w:val="ListBullet"/>
      </w:pPr>
      <w:r>
        <w:t>✓ Institutional thinking: You understand how asset allocators work</w:t>
      </w:r>
    </w:p>
    <w:p>
      <w:pPr>
        <w:pStyle w:val="ListBullet"/>
      </w:pPr>
      <w:r>
        <w:t>✓ Technical depth: Optimization, backtesting, risk management</w:t>
      </w:r>
    </w:p>
    <w:p>
      <w:pPr>
        <w:pStyle w:val="ListBullet"/>
      </w:pPr>
      <w:r>
        <w:t>✓ Self-awareness: You identified bugs and know how to fix them</w:t>
      </w:r>
    </w:p>
    <w:p>
      <w:pPr>
        <w:pStyle w:val="ListBullet"/>
      </w:pPr>
      <w:r>
        <w:t>✓ Real-world application: Uses actual market data, professional outputs</w:t>
      </w:r>
    </w:p>
    <w:p>
      <w:pPr>
        <w:pStyle w:val="ListBullet"/>
      </w:pPr>
      <w:r>
        <w:t>✓ Multi-disciplinary: Combines theory, implementation, empirical validation</w:t>
      </w:r>
    </w:p>
    <w:p>
      <w:pPr>
        <w:pStyle w:val="Heading2"/>
      </w:pPr>
      <w:r>
        <w:t>What It Doesn't Demonstrate</w:t>
      </w:r>
    </w:p>
    <w:p>
      <w:pPr>
        <w:pStyle w:val="ListBullet"/>
      </w:pPr>
      <w:r>
        <w:t>✗ Trading algorithm that beats benchmarks</w:t>
      </w:r>
    </w:p>
    <w:p>
      <w:pPr>
        <w:pStyle w:val="ListBullet"/>
      </w:pPr>
      <w:r>
        <w:t>✗ IB-specific skills (M&amp;A models, valuations)</w:t>
      </w:r>
    </w:p>
    <w:p>
      <w:pPr>
        <w:pStyle w:val="ListBullet"/>
      </w:pPr>
      <w:r>
        <w:t>✗ Client-facing capabilities</w:t>
      </w:r>
    </w:p>
    <w:p>
      <w:pPr>
        <w:pStyle w:val="ListBullet"/>
      </w:pPr>
      <w:r>
        <w:t>✗ Production-grade code (error handling, logging)</w:t>
      </w:r>
    </w:p>
    <w:p>
      <w:pPr>
        <w:pStyle w:val="Heading2"/>
      </w:pPr>
      <w:r>
        <w:t>Recommended Career Path</w:t>
      </w:r>
    </w:p>
    <w:p>
      <w:r>
        <w:t>Traditional IB → PE: This project is supporting evidence. Lead with M&amp;A models.</w:t>
      </w:r>
    </w:p>
    <w:p>
      <w:r>
        <w:t>Quant/Asset Management: This project is your centerpiece. Double down with ML factor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