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ĐỀ THI MẪU  1 SOF304 - KIỂM THỬ NÂNG CAO</w:t>
      </w:r>
    </w:p>
    <w:p w:rsidR="00000000" w:rsidDel="00000000" w:rsidP="00000000" w:rsidRDefault="00000000" w:rsidRPr="00000000" w14:paraId="00000002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bài thi trên Desktop, đặt tên: &lt;Mã SV&gt;_&lt;Ngày thi&gt;_Final.</w:t>
      </w:r>
    </w:p>
    <w:p w:rsidR="00000000" w:rsidDel="00000000" w:rsidP="00000000" w:rsidRDefault="00000000" w:rsidRPr="00000000" w14:paraId="00000004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dụ: PH28013_20012004_Final.</w:t>
      </w:r>
    </w:p>
    <w:p w:rsidR="00000000" w:rsidDel="00000000" w:rsidP="00000000" w:rsidRDefault="00000000" w:rsidRPr="00000000" w14:paraId="00000005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1: Viết unit test cho các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rtl w:val="0"/>
        </w:rPr>
        <w:t xml:space="preserve">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các kỹ thuật biên/ kỹ thuật phân vùng tương đương viết 5 unit test để thực hiện chức năng tính trung bình cộng của điểm toán lý hoá.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Sử dụng các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kỹ thuật biên/ kỹ thuật phân vùng tương đương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viết 5 unit test để thực hiện chức năng tính thương của 2 số nguyên.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điểm). 1/0</w:t>
      </w:r>
    </w:p>
    <w:p w:rsidR="00000000" w:rsidDel="00000000" w:rsidP="00000000" w:rsidRDefault="00000000" w:rsidRPr="00000000" w14:paraId="0000000A">
      <w:pPr>
        <w:shd w:fill="ffffff" w:val="clear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2: Viết unit test cho các hàm trong class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SinhVien gồm các thuộc tính maSV - String , ten - String , tuoi - int, diemTrungBinh - float, kyHoc - int, chuyenNganh -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(1 điểm)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SinhVienService và thực hiện các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thêm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1 đối tượng sinh viên mới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 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Áp dụng các kỹ thuật test đã học: kỹ thuật biên/ kỹ thuật phân vùng tương đương  hãy viết unit test cho chức năng “Thêm” 1 đối tượng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ít nhất 10 unit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f" w:val="clear"/>
        <w:spacing w:after="28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tra các dữ liệu sau: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 sinh viên là duy nhất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Tuổi phải là số nguyên và lớn hơn 17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