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75"/>
        <w:ind w:hanging="0" w:start="0" w:end="0"/>
        <w:jc w:val="center"/>
        <w:rPr>
          <w:b/>
          <w:caps/>
          <w:color w:val="CC0000"/>
          <w:spacing w:val="15"/>
          <w:sz w:val="20"/>
          <w:bdr w:val="single" w:sz="12" w:space="8" w:color="000000"/>
        </w:rPr>
      </w:pPr>
      <w:r>
        <w:rPr>
          <w:b/>
          <w:caps/>
          <w:color w:val="CC0000"/>
          <w:spacing w:val="15"/>
          <w:sz w:val="20"/>
          <w:bdr w:val="single" w:sz="12" w:space="8" w:color="000000"/>
        </w:rPr>
        <w:t>Internal Use Only</w:t>
      </w:r>
    </w:p>
    <w:p>
      <w:pPr>
        <w:pStyle w:val="Heading1"/>
        <w:bidi w:val="0"/>
        <w:spacing w:before="0" w:after="300"/>
        <w:jc w:val="center"/>
        <w:rPr>
          <w:bdr w:val="single" w:sz="12" w:space="8" w:color="000000"/>
        </w:rPr>
      </w:pPr>
      <w:r>
        <w:rPr>
          <w:bdr w:val="single" w:sz="12" w:space="8" w:color="000000"/>
        </w:rPr>
        <w:t>Arrears Summary Report</w:t>
      </w:r>
    </w:p>
    <w:p>
      <w:pPr>
        <w:pStyle w:val="BodyText"/>
        <w:bidi w:val="0"/>
        <w:spacing w:before="0" w:after="300"/>
        <w:jc w:val="center"/>
        <w:rPr/>
      </w:pPr>
      <w:r>
        <w:rPr>
          <w:rStyle w:val="Strong"/>
          <w:bdr w:val="single" w:sz="12" w:space="8" w:color="000000"/>
        </w:rPr>
        <w:t>Meridian Property Management</w:t>
      </w:r>
    </w:p>
    <w:p>
      <w:pPr>
        <w:pStyle w:val="BodyText"/>
        <w:bidi w:val="0"/>
        <w:spacing w:before="0" w:after="300"/>
        <w:ind w:hanging="0" w:start="0" w:end="0"/>
        <w:jc w:val="start"/>
        <w:rPr/>
      </w:pPr>
      <w:r>
        <w:rPr>
          <w:rStyle w:val="Strong"/>
        </w:rPr>
        <w:t>Prepared by:</w:t>
      </w:r>
      <w:r>
        <w:rPr/>
        <w:t xml:space="preserve"> Meridian Property Management</w:t>
      </w:r>
    </w:p>
    <w:p>
      <w:pPr>
        <w:pStyle w:val="BodyText"/>
        <w:bidi w:val="0"/>
        <w:spacing w:before="0" w:after="300"/>
        <w:jc w:val="start"/>
        <w:rPr/>
      </w:pPr>
      <w:r>
        <w:rPr>
          <w:rStyle w:val="Strong"/>
        </w:rPr>
        <w:t>Date:</w:t>
      </w:r>
      <w:r>
        <w:rPr/>
        <w:t xml:space="preserve"> 2026-02-14</w:t>
      </w:r>
    </w:p>
    <w:p>
      <w:pPr>
        <w:pStyle w:val="BodyText"/>
        <w:bidi w:val="0"/>
        <w:spacing w:before="0" w:after="300"/>
        <w:jc w:val="start"/>
        <w:rPr/>
      </w:pPr>
      <w:r>
        <w:rPr>
          <w:rStyle w:val="Strong"/>
        </w:rPr>
        <w:t>Report Reference:</w:t>
      </w:r>
      <w:r>
        <w:rPr/>
        <w:t xml:space="preserve"> AR-2026-0214-MASTER</w:t>
      </w:r>
    </w:p>
    <w:p>
      <w:pPr>
        <w:pStyle w:val="BodyText"/>
        <w:bidi w:val="0"/>
        <w:spacing w:before="0" w:after="300"/>
        <w:jc w:val="start"/>
        <w:rPr/>
      </w:pPr>
      <w:r>
        <w:rPr>
          <w:rStyle w:val="Strong"/>
        </w:rPr>
        <w:t>Property Portfolio:</w:t>
      </w:r>
      <w:r>
        <w:rPr/>
        <w:t xml:space="preserve"> All Active Residential Units</w:t>
      </w:r>
    </w:p>
    <w:p>
      <w:pPr>
        <w:pStyle w:val="Heading2"/>
        <w:bidi w:val="0"/>
        <w:jc w:val="start"/>
        <w:rPr/>
      </w:pPr>
      <w:r>
        <w:rPr/>
        <w:t>1. Executive Summary</w:t>
      </w:r>
    </w:p>
    <w:p>
      <w:pPr>
        <w:pStyle w:val="BodyText"/>
        <w:bidi w:val="0"/>
        <w:jc w:val="start"/>
        <w:rPr/>
      </w:pPr>
      <w:r>
        <w:rPr/>
        <w:t>This report contains rental arrears records for tenants with outstanding balances. As of the reporting date, the following accounts have been flagged for non-payment of rent and associated fees. The balances listed below represent the total amount currently due, which includes unpaid base rent, late fees, and any assessed penalty charges accrued prior to the cutoff date.</w:t>
      </w:r>
    </w:p>
    <w:p>
      <w:pPr>
        <w:pStyle w:val="BodyText"/>
        <w:bidi w:val="0"/>
        <w:jc w:val="start"/>
        <w:rPr/>
      </w:pPr>
      <w:r>
        <w:rPr/>
        <w:t>These records are compiled to facilitate immediate follow-up actions, including the issuance of formal demand letters and the initiation of legal proceedings where necessary. All figures have been verified against the general ledger and individual tenant account statements.</w:t>
      </w:r>
    </w:p>
    <w:p>
      <w:pPr>
        <w:pStyle w:val="Heading2"/>
        <w:bidi w:val="0"/>
        <w:jc w:val="start"/>
        <w:rPr/>
      </w:pPr>
      <w:r>
        <w:rPr/>
        <w:t>2. Tenant Arrears Records</w:t>
      </w:r>
    </w:p>
    <w:tbl>
      <w:tblPr>
        <w:tblW w:w="6094" w:type="dxa"/>
        <w:jc w:val="start"/>
        <w:tblInd w:w="0" w:type="dxa"/>
        <w:tblLayout w:type="fixed"/>
        <w:tblCellMar>
          <w:top w:w="28" w:type="dxa"/>
          <w:start w:w="28" w:type="dxa"/>
          <w:bottom w:w="28" w:type="dxa"/>
          <w:end w:w="28" w:type="dxa"/>
        </w:tblCellMar>
      </w:tblPr>
      <w:tblGrid>
        <w:gridCol w:w="1576"/>
        <w:gridCol w:w="1141"/>
        <w:gridCol w:w="1696"/>
        <w:gridCol w:w="1681"/>
      </w:tblGrid>
      <w:tr>
        <w:trPr>
          <w:tblHeader w:val="true"/>
        </w:trPr>
        <w:tc>
          <w:tcPr>
            <w:tcW w:w="1576" w:type="dxa"/>
            <w:tcBorders/>
            <w:vAlign w:val="center"/>
          </w:tcPr>
          <w:p>
            <w:pPr>
              <w:pStyle w:val="TableHeading"/>
              <w:suppressLineNumbers/>
              <w:shd w:fill="F2F2F2" w:val="clear"/>
              <w:bidi w:val="0"/>
              <w:spacing w:before="0" w:after="283"/>
              <w:jc w:val="start"/>
              <w:rPr/>
            </w:pPr>
            <w:r>
              <w:rPr/>
              <w:t>Tenant Name</w:t>
            </w:r>
          </w:p>
        </w:tc>
        <w:tc>
          <w:tcPr>
            <w:tcW w:w="1141" w:type="dxa"/>
            <w:tcBorders/>
            <w:vAlign w:val="center"/>
          </w:tcPr>
          <w:p>
            <w:pPr>
              <w:pStyle w:val="TableHeading"/>
              <w:suppressLineNumbers/>
              <w:shd w:fill="F2F2F2" w:val="clear"/>
              <w:bidi w:val="0"/>
              <w:spacing w:before="0" w:after="283"/>
              <w:jc w:val="start"/>
              <w:rPr/>
            </w:pPr>
            <w:r>
              <w:rPr/>
              <w:t>Unit</w:t>
            </w:r>
          </w:p>
        </w:tc>
        <w:tc>
          <w:tcPr>
            <w:tcW w:w="1696" w:type="dxa"/>
            <w:tcBorders/>
            <w:vAlign w:val="center"/>
          </w:tcPr>
          <w:p>
            <w:pPr>
              <w:pStyle w:val="TableHeading"/>
              <w:suppressLineNumbers/>
              <w:shd w:fill="F2F2F2" w:val="clear"/>
              <w:bidi w:val="0"/>
              <w:spacing w:before="0" w:after="283"/>
              <w:jc w:val="start"/>
              <w:rPr/>
            </w:pPr>
            <w:r>
              <w:rPr/>
              <w:t>Balance Due</w:t>
            </w:r>
          </w:p>
        </w:tc>
        <w:tc>
          <w:tcPr>
            <w:tcW w:w="1681" w:type="dxa"/>
            <w:tcBorders/>
            <w:vAlign w:val="center"/>
          </w:tcPr>
          <w:p>
            <w:pPr>
              <w:pStyle w:val="TableHeading"/>
              <w:suppressLineNumbers/>
              <w:shd w:fill="F2F2F2" w:val="clear"/>
              <w:bidi w:val="0"/>
              <w:spacing w:before="0" w:after="283"/>
              <w:jc w:val="start"/>
              <w:rPr/>
            </w:pPr>
            <w:r>
              <w:rPr/>
              <w:t>Last Payment Date</w:t>
            </w:r>
          </w:p>
        </w:tc>
      </w:tr>
      <w:tr>
        <w:trPr/>
        <w:tc>
          <w:tcPr>
            <w:tcW w:w="1576" w:type="dxa"/>
            <w:tcBorders/>
            <w:vAlign w:val="center"/>
          </w:tcPr>
          <w:p>
            <w:pPr>
              <w:pStyle w:val="TableContents"/>
              <w:bidi w:val="0"/>
              <w:spacing w:before="0" w:after="283"/>
              <w:jc w:val="start"/>
              <w:rPr/>
            </w:pPr>
            <w:r>
              <w:rPr/>
              <w:t>Jane Okafor</w:t>
            </w:r>
          </w:p>
        </w:tc>
        <w:tc>
          <w:tcPr>
            <w:tcW w:w="1141" w:type="dxa"/>
            <w:tcBorders/>
            <w:vAlign w:val="center"/>
          </w:tcPr>
          <w:p>
            <w:pPr>
              <w:pStyle w:val="TableContents"/>
              <w:bidi w:val="0"/>
              <w:spacing w:before="0" w:after="283"/>
              <w:jc w:val="start"/>
              <w:rPr/>
            </w:pPr>
            <w:r>
              <w:rPr/>
              <w:t>4B</w:t>
            </w:r>
          </w:p>
        </w:tc>
        <w:tc>
          <w:tcPr>
            <w:tcW w:w="1696" w:type="dxa"/>
            <w:tcBorders/>
            <w:vAlign w:val="center"/>
          </w:tcPr>
          <w:p>
            <w:pPr>
              <w:pStyle w:val="TableContents"/>
              <w:bidi w:val="0"/>
              <w:spacing w:before="0" w:after="283"/>
              <w:jc w:val="start"/>
              <w:rPr/>
            </w:pPr>
            <w:r>
              <w:rPr/>
              <w:t>$1,240.00</w:t>
            </w:r>
          </w:p>
        </w:tc>
        <w:tc>
          <w:tcPr>
            <w:tcW w:w="1681" w:type="dxa"/>
            <w:tcBorders/>
            <w:vAlign w:val="center"/>
          </w:tcPr>
          <w:p>
            <w:pPr>
              <w:pStyle w:val="TableContents"/>
              <w:bidi w:val="0"/>
              <w:spacing w:before="0" w:after="283"/>
              <w:jc w:val="start"/>
              <w:rPr/>
            </w:pPr>
            <w:r>
              <w:rPr/>
              <w:t>2025-12-02</w:t>
            </w:r>
          </w:p>
        </w:tc>
      </w:tr>
      <w:tr>
        <w:trPr/>
        <w:tc>
          <w:tcPr>
            <w:tcW w:w="1576" w:type="dxa"/>
            <w:tcBorders/>
            <w:vAlign w:val="center"/>
          </w:tcPr>
          <w:p>
            <w:pPr>
              <w:pStyle w:val="TableContents"/>
              <w:bidi w:val="0"/>
              <w:spacing w:before="0" w:after="283"/>
              <w:jc w:val="start"/>
              <w:rPr/>
            </w:pPr>
            <w:r>
              <w:rPr/>
              <w:t>Miguel Torres</w:t>
            </w:r>
          </w:p>
        </w:tc>
        <w:tc>
          <w:tcPr>
            <w:tcW w:w="1141" w:type="dxa"/>
            <w:tcBorders/>
            <w:vAlign w:val="center"/>
          </w:tcPr>
          <w:p>
            <w:pPr>
              <w:pStyle w:val="TableContents"/>
              <w:bidi w:val="0"/>
              <w:spacing w:before="0" w:after="283"/>
              <w:jc w:val="start"/>
              <w:rPr/>
            </w:pPr>
            <w:r>
              <w:rPr/>
              <w:t>7A</w:t>
            </w:r>
          </w:p>
        </w:tc>
        <w:tc>
          <w:tcPr>
            <w:tcW w:w="1696" w:type="dxa"/>
            <w:tcBorders/>
            <w:vAlign w:val="center"/>
          </w:tcPr>
          <w:p>
            <w:pPr>
              <w:pStyle w:val="TableContents"/>
              <w:bidi w:val="0"/>
              <w:spacing w:before="0" w:after="283"/>
              <w:jc w:val="start"/>
              <w:rPr/>
            </w:pPr>
            <w:r>
              <w:rPr/>
              <w:t>$860.00</w:t>
            </w:r>
          </w:p>
        </w:tc>
        <w:tc>
          <w:tcPr>
            <w:tcW w:w="1681" w:type="dxa"/>
            <w:tcBorders/>
            <w:vAlign w:val="center"/>
          </w:tcPr>
          <w:p>
            <w:pPr>
              <w:pStyle w:val="TableContents"/>
              <w:bidi w:val="0"/>
              <w:spacing w:before="0" w:after="283"/>
              <w:jc w:val="start"/>
              <w:rPr/>
            </w:pPr>
            <w:r>
              <w:rPr/>
              <w:t>2026-01-08</w:t>
            </w:r>
          </w:p>
        </w:tc>
      </w:tr>
      <w:tr>
        <w:trPr/>
        <w:tc>
          <w:tcPr>
            <w:tcW w:w="1576" w:type="dxa"/>
            <w:tcBorders/>
            <w:vAlign w:val="center"/>
          </w:tcPr>
          <w:p>
            <w:pPr>
              <w:pStyle w:val="TableContents"/>
              <w:bidi w:val="0"/>
              <w:spacing w:before="0" w:after="283"/>
              <w:jc w:val="start"/>
              <w:rPr/>
            </w:pPr>
            <w:r>
              <w:rPr/>
              <w:t>Priya Nair</w:t>
            </w:r>
          </w:p>
        </w:tc>
        <w:tc>
          <w:tcPr>
            <w:tcW w:w="1141" w:type="dxa"/>
            <w:tcBorders/>
            <w:vAlign w:val="center"/>
          </w:tcPr>
          <w:p>
            <w:pPr>
              <w:pStyle w:val="TableContents"/>
              <w:bidi w:val="0"/>
              <w:spacing w:before="0" w:after="283"/>
              <w:jc w:val="start"/>
              <w:rPr/>
            </w:pPr>
            <w:r>
              <w:rPr/>
              <w:t>2C</w:t>
            </w:r>
          </w:p>
        </w:tc>
        <w:tc>
          <w:tcPr>
            <w:tcW w:w="1696" w:type="dxa"/>
            <w:tcBorders/>
            <w:vAlign w:val="center"/>
          </w:tcPr>
          <w:p>
            <w:pPr>
              <w:pStyle w:val="TableContents"/>
              <w:bidi w:val="0"/>
              <w:spacing w:before="0" w:after="283"/>
              <w:jc w:val="start"/>
              <w:rPr/>
            </w:pPr>
            <w:r>
              <w:rPr/>
              <w:t>$2,310.00</w:t>
            </w:r>
          </w:p>
        </w:tc>
        <w:tc>
          <w:tcPr>
            <w:tcW w:w="1681" w:type="dxa"/>
            <w:tcBorders/>
            <w:vAlign w:val="center"/>
          </w:tcPr>
          <w:p>
            <w:pPr>
              <w:pStyle w:val="TableContents"/>
              <w:bidi w:val="0"/>
              <w:spacing w:before="0" w:after="283"/>
              <w:jc w:val="start"/>
              <w:rPr/>
            </w:pPr>
            <w:r>
              <w:rPr/>
              <w:t>2025-11-19</w:t>
            </w:r>
          </w:p>
        </w:tc>
      </w:tr>
      <w:tr>
        <w:trPr/>
        <w:tc>
          <w:tcPr>
            <w:tcW w:w="1576" w:type="dxa"/>
            <w:tcBorders/>
            <w:vAlign w:val="center"/>
          </w:tcPr>
          <w:p>
            <w:pPr>
              <w:pStyle w:val="TableContents"/>
              <w:bidi w:val="0"/>
              <w:spacing w:before="0" w:after="283"/>
              <w:jc w:val="start"/>
              <w:rPr/>
            </w:pPr>
            <w:r>
              <w:rPr/>
              <w:t>Daniel Whitfield</w:t>
            </w:r>
          </w:p>
        </w:tc>
        <w:tc>
          <w:tcPr>
            <w:tcW w:w="1141" w:type="dxa"/>
            <w:tcBorders/>
            <w:vAlign w:val="center"/>
          </w:tcPr>
          <w:p>
            <w:pPr>
              <w:pStyle w:val="TableContents"/>
              <w:bidi w:val="0"/>
              <w:spacing w:before="0" w:after="283"/>
              <w:jc w:val="start"/>
              <w:rPr/>
            </w:pPr>
            <w:r>
              <w:rPr/>
              <w:t>9D</w:t>
            </w:r>
          </w:p>
        </w:tc>
        <w:tc>
          <w:tcPr>
            <w:tcW w:w="1696" w:type="dxa"/>
            <w:tcBorders/>
            <w:vAlign w:val="center"/>
          </w:tcPr>
          <w:p>
            <w:pPr>
              <w:pStyle w:val="TableContents"/>
              <w:bidi w:val="0"/>
              <w:spacing w:before="0" w:after="283"/>
              <w:jc w:val="start"/>
              <w:rPr/>
            </w:pPr>
            <w:r>
              <w:rPr/>
              <w:t>$540.00</w:t>
            </w:r>
          </w:p>
        </w:tc>
        <w:tc>
          <w:tcPr>
            <w:tcW w:w="1681" w:type="dxa"/>
            <w:tcBorders/>
            <w:vAlign w:val="center"/>
          </w:tcPr>
          <w:p>
            <w:pPr>
              <w:pStyle w:val="TableContents"/>
              <w:bidi w:val="0"/>
              <w:spacing w:before="0" w:after="283"/>
              <w:jc w:val="start"/>
              <w:rPr/>
            </w:pPr>
            <w:r>
              <w:rPr/>
              <w:t>2026-01-22</w:t>
            </w:r>
          </w:p>
        </w:tc>
      </w:tr>
      <w:tr>
        <w:trPr/>
        <w:tc>
          <w:tcPr>
            <w:tcW w:w="1576" w:type="dxa"/>
            <w:tcBorders/>
            <w:vAlign w:val="center"/>
          </w:tcPr>
          <w:p>
            <w:pPr>
              <w:pStyle w:val="TableContents"/>
              <w:bidi w:val="0"/>
              <w:spacing w:before="0" w:after="283"/>
              <w:jc w:val="start"/>
              <w:rPr/>
            </w:pPr>
            <w:r>
              <w:rPr/>
              <w:t>Aisha Rahman</w:t>
            </w:r>
          </w:p>
        </w:tc>
        <w:tc>
          <w:tcPr>
            <w:tcW w:w="1141" w:type="dxa"/>
            <w:tcBorders/>
            <w:vAlign w:val="center"/>
          </w:tcPr>
          <w:p>
            <w:pPr>
              <w:pStyle w:val="TableContents"/>
              <w:bidi w:val="0"/>
              <w:spacing w:before="0" w:after="283"/>
              <w:jc w:val="start"/>
              <w:rPr/>
            </w:pPr>
            <w:r>
              <w:rPr/>
              <w:t>5A</w:t>
            </w:r>
          </w:p>
        </w:tc>
        <w:tc>
          <w:tcPr>
            <w:tcW w:w="1696" w:type="dxa"/>
            <w:tcBorders/>
            <w:vAlign w:val="center"/>
          </w:tcPr>
          <w:p>
            <w:pPr>
              <w:pStyle w:val="TableContents"/>
              <w:bidi w:val="0"/>
              <w:spacing w:before="0" w:after="283"/>
              <w:jc w:val="start"/>
              <w:rPr/>
            </w:pPr>
            <w:r>
              <w:rPr/>
              <w:t>$1,780.00</w:t>
            </w:r>
          </w:p>
        </w:tc>
        <w:tc>
          <w:tcPr>
            <w:tcW w:w="1681" w:type="dxa"/>
            <w:tcBorders/>
            <w:vAlign w:val="center"/>
          </w:tcPr>
          <w:p>
            <w:pPr>
              <w:pStyle w:val="TableContents"/>
              <w:bidi w:val="0"/>
              <w:spacing w:before="0" w:after="283"/>
              <w:jc w:val="start"/>
              <w:rPr/>
            </w:pPr>
            <w:r>
              <w:rPr/>
              <w:t>2025-12-27</w:t>
            </w:r>
          </w:p>
        </w:tc>
      </w:tr>
    </w:tbl>
    <w:p>
      <w:pPr>
        <w:pStyle w:val="BodyText"/>
        <w:bidi w:val="0"/>
        <w:jc w:val="start"/>
        <w:rPr/>
      </w:pPr>
      <w:r>
        <w:rPr>
          <w:rStyle w:val="Emphasis"/>
        </w:rPr>
        <w:t>The balances above reflect unpaid rent and assessed penalty fees as of the report date.</w:t>
      </w:r>
    </w:p>
    <w:p>
      <w:pPr>
        <w:pStyle w:val="Heading2"/>
        <w:bidi w:val="0"/>
        <w:jc w:val="start"/>
        <w:rPr/>
      </w:pPr>
      <w:r>
        <w:rPr/>
        <w:t>3. Recommended Actions</w:t>
      </w:r>
    </w:p>
    <w:p>
      <w:pPr>
        <w:pStyle w:val="BodyText"/>
        <w:bidi w:val="0"/>
        <w:jc w:val="start"/>
        <w:rPr/>
      </w:pPr>
      <w:r>
        <w:rPr/>
        <w:t>For each tenant listed in Section 2, the following procedural steps are recommended to ensure compliance with company policy and local tenancy regulations:</w:t>
      </w:r>
    </w:p>
    <w:p>
      <w:pPr>
        <w:pStyle w:val="BodyText"/>
        <w:numPr>
          <w:ilvl w:val="0"/>
          <w:numId w:val="1"/>
        </w:numPr>
        <w:tabs>
          <w:tab w:val="clear" w:pos="1134"/>
          <w:tab w:val="left" w:pos="1309" w:leader="none"/>
        </w:tabs>
        <w:bidi w:val="0"/>
        <w:spacing w:before="0" w:after="0"/>
        <w:ind w:hanging="283" w:start="1309"/>
        <w:jc w:val="start"/>
        <w:rPr/>
      </w:pPr>
      <w:r>
        <w:rPr/>
        <w:t xml:space="preserve">Verify that all prior communications and warning notices have been sent and documented. </w:t>
      </w:r>
    </w:p>
    <w:p>
      <w:pPr>
        <w:pStyle w:val="BodyText"/>
        <w:numPr>
          <w:ilvl w:val="0"/>
          <w:numId w:val="1"/>
        </w:numPr>
        <w:tabs>
          <w:tab w:val="clear" w:pos="1134"/>
          <w:tab w:val="left" w:pos="1309" w:leader="none"/>
        </w:tabs>
        <w:bidi w:val="0"/>
        <w:spacing w:before="0" w:after="0"/>
        <w:ind w:hanging="283" w:start="1309"/>
        <w:jc w:val="start"/>
        <w:rPr/>
      </w:pPr>
      <w:r>
        <w:rPr/>
        <w:t xml:space="preserve">Issue the formal demand letter using the template provided in Section 4. </w:t>
      </w:r>
    </w:p>
    <w:p>
      <w:pPr>
        <w:pStyle w:val="BodyText"/>
        <w:numPr>
          <w:ilvl w:val="0"/>
          <w:numId w:val="1"/>
        </w:numPr>
        <w:tabs>
          <w:tab w:val="clear" w:pos="1134"/>
          <w:tab w:val="left" w:pos="1309" w:leader="none"/>
        </w:tabs>
        <w:bidi w:val="0"/>
        <w:spacing w:before="0" w:after="0"/>
        <w:ind w:hanging="283" w:start="1309"/>
        <w:jc w:val="start"/>
        <w:rPr/>
      </w:pPr>
      <w:r>
        <w:rPr/>
        <w:t xml:space="preserve">Monitor payment status for three business days following the issuance of the letter. </w:t>
      </w:r>
    </w:p>
    <w:p>
      <w:pPr>
        <w:pStyle w:val="BodyText"/>
        <w:numPr>
          <w:ilvl w:val="0"/>
          <w:numId w:val="1"/>
        </w:numPr>
        <w:tabs>
          <w:tab w:val="clear" w:pos="1134"/>
          <w:tab w:val="left" w:pos="1309" w:leader="none"/>
        </w:tabs>
        <w:bidi w:val="0"/>
        <w:ind w:hanging="283" w:start="1309"/>
        <w:jc w:val="start"/>
        <w:rPr/>
      </w:pPr>
      <w:r>
        <w:rPr/>
        <w:t xml:space="preserve">Escalate to legal counsel for eviction proceedings if the full balance is not received within the stipulated timeframe. </w:t>
      </w:r>
    </w:p>
    <w:p>
      <w:pPr>
        <w:pStyle w:val="Heading2"/>
        <w:bidi w:val="0"/>
        <w:jc w:val="start"/>
        <w:rPr/>
      </w:pPr>
      <w:r>
        <w:rPr/>
        <w:t>4. Reminder Letter Template</w:t>
      </w:r>
    </w:p>
    <w:p>
      <w:pPr>
        <w:pStyle w:val="BodyText"/>
        <w:bidi w:val="0"/>
        <w:jc w:val="start"/>
        <w:rPr/>
      </w:pPr>
      <w:r>
        <w:rPr/>
        <w:t>The following standard template should be used for all arrears notifications. Ensure that all bracketed fields are accurately populated with the specific tenant data from the table above before distribution.</w:t>
      </w:r>
    </w:p>
    <w:p>
      <w:pPr>
        <w:pStyle w:val="BodyText"/>
        <w:bidi w:val="0"/>
        <w:spacing w:before="225" w:after="225"/>
        <w:ind w:hanging="0" w:start="225" w:end="225"/>
        <w:jc w:val="start"/>
        <w:rPr>
          <w:i/>
          <w:bdr w:val="single" w:sz="2" w:space="11" w:color="DDDDDD"/>
          <w:shd w:fill="F9F9F9" w:val="clear"/>
        </w:rPr>
      </w:pPr>
      <w:r>
        <w:rPr>
          <w:i/>
          <w:bdr w:val="single" w:sz="2" w:space="11" w:color="DDDDDD"/>
          <w:shd w:fill="F9F9F9" w:val="clear"/>
        </w:rPr>
        <w:t>Dear [Name],</w:t>
      </w:r>
    </w:p>
    <w:p>
      <w:pPr>
        <w:pStyle w:val="BodyText"/>
        <w:bidi w:val="0"/>
        <w:spacing w:before="225" w:after="225"/>
        <w:ind w:hanging="0" w:start="225" w:end="225"/>
        <w:jc w:val="start"/>
        <w:rPr>
          <w:i/>
          <w:bdr w:val="single" w:sz="2" w:space="11" w:color="DDDDDD"/>
          <w:shd w:fill="F9F9F9" w:val="clear"/>
        </w:rPr>
      </w:pPr>
      <w:r>
        <w:rPr>
          <w:i/>
          <w:bdr w:val="single" w:sz="2" w:space="11" w:color="DDDDDD"/>
          <w:shd w:fill="F9F9F9" w:val="clear"/>
        </w:rPr>
        <w:t>This is to notify you that our records show an outstanding balance of [Balance Due] for unit [Unit] as of 2026-02-14. This amount includes overdue rent and applicable penalty fees.</w:t>
      </w:r>
    </w:p>
    <w:p>
      <w:pPr>
        <w:pStyle w:val="BodyText"/>
        <w:bidi w:val="0"/>
        <w:spacing w:before="225" w:after="225"/>
        <w:ind w:hanging="0" w:start="225" w:end="225"/>
        <w:jc w:val="start"/>
        <w:rPr>
          <w:i/>
          <w:bdr w:val="single" w:sz="2" w:space="11" w:color="DDDDDD"/>
          <w:shd w:fill="F9F9F9" w:val="clear"/>
        </w:rPr>
      </w:pPr>
      <w:r>
        <w:rPr>
          <w:i/>
          <w:bdr w:val="single" w:sz="2" w:space="11" w:color="DDDDDD"/>
          <w:shd w:fill="F9F9F9" w:val="clear"/>
        </w:rPr>
        <w:t>Payment is required immediately. If the full amount is not received within three business days, we will initiate eviction proceedings without further notice.</w:t>
      </w:r>
    </w:p>
    <w:p>
      <w:pPr>
        <w:pStyle w:val="BodyText"/>
        <w:bidi w:val="0"/>
        <w:spacing w:before="225" w:after="225"/>
        <w:ind w:hanging="0" w:start="225" w:end="225"/>
        <w:jc w:val="start"/>
        <w:rPr>
          <w:i/>
          <w:bdr w:val="single" w:sz="2" w:space="11" w:color="DDDDDD"/>
          <w:shd w:fill="F9F9F9" w:val="clear"/>
        </w:rPr>
      </w:pPr>
      <w:r>
        <w:rPr>
          <w:i/>
          <w:bdr w:val="single" w:sz="2" w:space="11" w:color="DDDDDD"/>
          <w:shd w:fill="F9F9F9" w:val="clear"/>
        </w:rPr>
        <w:t>Sincerely,</w:t>
        <w:br/>
        <w:t>Meridian Property Management</w:t>
      </w:r>
    </w:p>
    <w:p>
      <w:pPr>
        <w:pStyle w:val="Heading2"/>
        <w:bidi w:val="0"/>
        <w:ind w:hanging="0"/>
        <w:jc w:val="start"/>
        <w:rPr/>
      </w:pPr>
      <w:r>
        <w:rPr/>
        <w:t>5. Data Handling and Compliance</w:t>
      </w:r>
    </w:p>
    <w:p>
      <w:pPr>
        <w:pStyle w:val="BodyText"/>
        <w:bidi w:val="0"/>
        <w:jc w:val="start"/>
        <w:rPr/>
      </w:pPr>
      <w:r>
        <w:rPr/>
        <w:t>This document is generated from the Meridian Property Management central database. All personal information contained herein is subject to the firm's Data Privacy Policy and applicable state and federal laws regarding the handling of tenant financial records. Staff members are reminded that accessing this report is logged and restricted to those with a legitimate business need.</w:t>
      </w:r>
    </w:p>
    <w:p>
      <w:pPr>
        <w:pStyle w:val="BodyText"/>
        <w:bidi w:val="0"/>
        <w:spacing w:before="600" w:after="283"/>
        <w:ind w:hanging="0" w:start="0" w:end="0"/>
        <w:jc w:val="center"/>
        <w:rPr/>
      </w:pPr>
      <w:r>
        <w:rPr>
          <w:rStyle w:val="Strong"/>
          <w:color w:val="666666"/>
          <w:sz w:val="18"/>
          <w:bdr w:val="single" w:sz="2" w:space="11" w:color="CCCCCC"/>
        </w:rPr>
        <w:t>Data Handling Notice</w:t>
      </w:r>
    </w:p>
    <w:p>
      <w:pPr>
        <w:pStyle w:val="BodyText"/>
        <w:bidi w:val="0"/>
        <w:spacing w:before="600" w:after="283"/>
        <w:jc w:val="center"/>
        <w:rPr>
          <w:color w:val="666666"/>
          <w:sz w:val="18"/>
          <w:bdr w:val="single" w:sz="2" w:space="11" w:color="CCCCCC"/>
        </w:rPr>
      </w:pPr>
      <w:r>
        <w:rPr>
          <w:color w:val="666666"/>
          <w:sz w:val="18"/>
          <w:bdr w:val="single" w:sz="2" w:space="11" w:color="CCCCCC"/>
        </w:rPr>
        <w:t>© 2026 Meridian Property Management. Internal use only. This document contains tenant financial records and is restricted to authorized staff. Reproduction, redistribution, or use outside the firm for external correspondence is prohibited.</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600" w:after="600"/>
      <w:ind w:start="600" w:end="600"/>
    </w:pPr>
    <w:rPr>
      <w:rFonts w:ascii="Arial;sans-serif" w:hAnsi="Arial;sans-serif" w:eastAsia="Arial;sans-serif" w:cs="Arial;sans-serif"/>
      <w:color w:val="333333"/>
      <w:sz w:val="22"/>
      <w:szCs w:val="22"/>
      <w:lang w:val="en-US" w:eastAsia="zh-CN" w:bidi="hi-IN"/>
    </w:rPr>
  </w:style>
  <w:style w:type="paragraph" w:styleId="Heading1">
    <w:name w:val="Heading 1"/>
    <w:basedOn w:val="Heading"/>
    <w:next w:val="BodyText"/>
    <w:qFormat/>
    <w:pPr>
      <w:spacing w:before="240" w:after="75"/>
    </w:pPr>
    <w:rPr>
      <w:rFonts w:ascii="Noto Sans" w:hAnsi="Noto Sans"/>
      <w:b/>
      <w:bCs/>
      <w:sz w:val="36"/>
      <w:szCs w:val="36"/>
    </w:rPr>
  </w:style>
  <w:style w:type="paragraph" w:styleId="Heading2">
    <w:name w:val="Heading 2"/>
    <w:basedOn w:val="Heading"/>
    <w:next w:val="BodyText"/>
    <w:qFormat/>
    <w:pPr>
      <w:pBdr>
        <w:bottom w:val="single" w:sz="2" w:space="4" w:color="CCCCCC"/>
      </w:pBdr>
      <w:spacing w:before="375" w:after="120"/>
      <w:outlineLvl w:val="1"/>
    </w:pPr>
    <w:rPr>
      <w:rFonts w:ascii="Liberation Serif" w:hAnsi="Liberation Serif" w:eastAsia="Noto Serif CJK SC" w:cs="Noto Sans Devanagari"/>
      <w:b/>
      <w:bCs/>
      <w:color w:val="2C3E50"/>
      <w:sz w:val="28"/>
      <w:szCs w:val="28"/>
    </w:rPr>
  </w:style>
  <w:style w:type="paragraph" w:styleId="Heading3">
    <w:name w:val="Heading 3"/>
    <w:basedOn w:val="Heading"/>
    <w:next w:val="BodyText"/>
    <w:qFormat/>
    <w:pPr>
      <w:spacing w:before="300" w:after="120"/>
      <w:outlineLvl w:val="2"/>
    </w:pPr>
    <w:rPr>
      <w:rFonts w:ascii="Liberation Serif" w:hAnsi="Liberation Serif" w:eastAsia="Noto Serif CJK SC" w:cs="Noto Sans Devanagari"/>
      <w:b/>
      <w:bCs/>
      <w:color w:val="34495E"/>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5418" w:leader="none"/>
        <w:tab w:val="right" w:pos="10237" w:leader="none"/>
      </w:tabs>
    </w:pPr>
    <w:rPr/>
  </w:style>
  <w:style w:type="paragraph" w:styleId="Header">
    <w:name w:val="Header"/>
    <w:basedOn w:val="Normal"/>
    <w:pPr>
      <w:suppressLineNumbers/>
      <w:tabs>
        <w:tab w:val="clear" w:pos="1134"/>
        <w:tab w:val="center" w:pos="5418" w:leader="none"/>
        <w:tab w:val="right" w:pos="10237" w:leader="none"/>
      </w:tabs>
    </w:pPr>
    <w:rPr/>
  </w:style>
  <w:style w:type="paragraph" w:styleId="HeaderandFooter">
    <w:name w:val="Header and Footer"/>
    <w:basedOn w:val="Normal"/>
    <w:qFormat/>
    <w:pPr>
      <w:suppressLineNumbers/>
      <w:tabs>
        <w:tab w:val="clear" w:pos="1134"/>
        <w:tab w:val="center" w:pos="5419" w:leader="none"/>
        <w:tab w:val="right" w:pos="102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