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rPr>
          <w:bdr w:val="single" w:sz="12" w:space="8" w:color="000000"/>
        </w:rPr>
      </w:pPr>
      <w:r>
        <w:rPr>
          <w:bdr w:val="single" w:sz="12" w:space="8" w:color="000000"/>
        </w:rPr>
        <w:t>Registrar's Office</w:t>
      </w:r>
    </w:p>
    <w:p>
      <w:pPr>
        <w:pStyle w:val="BodyText"/>
        <w:bidi w:val="0"/>
        <w:spacing w:before="0" w:after="300"/>
        <w:ind w:hanging="0" w:start="0" w:end="0"/>
        <w:jc w:val="center"/>
        <w:rPr/>
      </w:pPr>
      <w:r>
        <w:rPr>
          <w:rStyle w:val="Strong"/>
          <w:bdr w:val="single" w:sz="12" w:space="8" w:color="000000"/>
        </w:rPr>
        <w:t>WEEKLY TUITION REMINDER BATCH</w:t>
      </w:r>
    </w:p>
    <w:tbl>
      <w:tblPr>
        <w:tblW w:w="4967" w:type="dxa"/>
        <w:jc w:val="start"/>
        <w:tblInd w:w="0" w:type="dxa"/>
        <w:tblLayout w:type="fixed"/>
        <w:tblCellMar>
          <w:top w:w="28" w:type="dxa"/>
          <w:start w:w="28" w:type="dxa"/>
          <w:bottom w:w="28" w:type="dxa"/>
          <w:end w:w="28" w:type="dxa"/>
        </w:tblCellMar>
      </w:tblPr>
      <w:tblGrid>
        <w:gridCol w:w="1681"/>
        <w:gridCol w:w="3286"/>
      </w:tblGrid>
      <w:tr>
        <w:trPr/>
        <w:tc>
          <w:tcPr>
            <w:tcW w:w="1681" w:type="dxa"/>
            <w:tcBorders/>
            <w:vAlign w:val="center"/>
          </w:tcPr>
          <w:p>
            <w:pPr>
              <w:pStyle w:val="TableContents"/>
              <w:bidi w:val="0"/>
              <w:spacing w:before="0" w:after="180"/>
              <w:rPr/>
            </w:pPr>
            <w:r>
              <w:rPr/>
              <w:t>Prepared by:</w:t>
            </w:r>
          </w:p>
        </w:tc>
        <w:tc>
          <w:tcPr>
            <w:tcW w:w="3286" w:type="dxa"/>
            <w:tcBorders/>
            <w:vAlign w:val="center"/>
          </w:tcPr>
          <w:p>
            <w:pPr>
              <w:pStyle w:val="TableContents"/>
              <w:bidi w:val="0"/>
              <w:spacing w:before="0" w:after="180"/>
              <w:rPr/>
            </w:pPr>
            <w:r>
              <w:rPr/>
              <w:t>Office of the Registrar</w:t>
            </w:r>
          </w:p>
        </w:tc>
      </w:tr>
      <w:tr>
        <w:trPr/>
        <w:tc>
          <w:tcPr>
            <w:tcW w:w="1681" w:type="dxa"/>
            <w:tcBorders/>
            <w:vAlign w:val="center"/>
          </w:tcPr>
          <w:p>
            <w:pPr>
              <w:pStyle w:val="TableContents"/>
              <w:bidi w:val="0"/>
              <w:spacing w:before="0" w:after="180"/>
              <w:rPr/>
            </w:pPr>
            <w:r>
              <w:rPr/>
              <w:t>Batch reference:</w:t>
            </w:r>
          </w:p>
        </w:tc>
        <w:tc>
          <w:tcPr>
            <w:tcW w:w="3286" w:type="dxa"/>
            <w:tcBorders/>
            <w:vAlign w:val="center"/>
          </w:tcPr>
          <w:p>
            <w:pPr>
              <w:pStyle w:val="TableContents"/>
              <w:bidi w:val="0"/>
              <w:spacing w:before="0" w:after="180"/>
              <w:rPr/>
            </w:pPr>
            <w:r>
              <w:rPr/>
              <w:t>TR-2026-041</w:t>
            </w:r>
          </w:p>
        </w:tc>
      </w:tr>
      <w:tr>
        <w:trPr/>
        <w:tc>
          <w:tcPr>
            <w:tcW w:w="1681" w:type="dxa"/>
            <w:tcBorders/>
            <w:vAlign w:val="center"/>
          </w:tcPr>
          <w:p>
            <w:pPr>
              <w:pStyle w:val="TableContents"/>
              <w:bidi w:val="0"/>
              <w:spacing w:before="0" w:after="180"/>
              <w:rPr/>
            </w:pPr>
            <w:r>
              <w:rPr/>
              <w:t>Date prepared:</w:t>
            </w:r>
          </w:p>
        </w:tc>
        <w:tc>
          <w:tcPr>
            <w:tcW w:w="3286" w:type="dxa"/>
            <w:tcBorders/>
            <w:vAlign w:val="center"/>
          </w:tcPr>
          <w:p>
            <w:pPr>
              <w:pStyle w:val="TableContents"/>
              <w:bidi w:val="0"/>
              <w:spacing w:before="0" w:after="180"/>
              <w:rPr/>
            </w:pPr>
            <w:r>
              <w:rPr/>
              <w:t>14 May 2026</w:t>
            </w:r>
          </w:p>
        </w:tc>
      </w:tr>
      <w:tr>
        <w:trPr/>
        <w:tc>
          <w:tcPr>
            <w:tcW w:w="1681" w:type="dxa"/>
            <w:tcBorders/>
            <w:vAlign w:val="center"/>
          </w:tcPr>
          <w:p>
            <w:pPr>
              <w:pStyle w:val="TableContents"/>
              <w:bidi w:val="0"/>
              <w:spacing w:before="0" w:after="180"/>
              <w:rPr/>
            </w:pPr>
            <w:r>
              <w:rPr/>
              <w:t>System Status:</w:t>
            </w:r>
          </w:p>
        </w:tc>
        <w:tc>
          <w:tcPr>
            <w:tcW w:w="3286" w:type="dxa"/>
            <w:tcBorders/>
            <w:vAlign w:val="center"/>
          </w:tcPr>
          <w:p>
            <w:pPr>
              <w:pStyle w:val="TableContents"/>
              <w:bidi w:val="0"/>
              <w:spacing w:before="0" w:after="180"/>
              <w:rPr/>
            </w:pPr>
            <w:r>
              <w:rPr/>
              <w:t>Ready for Mail Merge Execution</w:t>
            </w:r>
          </w:p>
        </w:tc>
      </w:tr>
    </w:tbl>
    <w:p>
      <w:pPr>
        <w:pStyle w:val="BodyText"/>
        <w:bidi w:val="0"/>
        <w:rPr/>
      </w:pPr>
      <w:r>
        <w:rPr/>
        <w:t>This document contains the standing reminder text and the recipient data used to produce this week's tuition reminder letters for students with outstanding balances. The reminder text is identical for all recipients; the fields marked with double braces are merged per recipient from the recipient table at the end of this document. The batch is generated automatically via the Student Financial Services (SFS) interface and requires manual verification of the recipient list prior to final distribution to ensure data integrity and compliance with privacy regulations.</w:t>
      </w:r>
    </w:p>
    <w:p>
      <w:pPr>
        <w:pStyle w:val="Heading2"/>
        <w:bidi w:val="0"/>
        <w:jc w:val="start"/>
        <w:rPr/>
      </w:pPr>
      <w:r>
        <w:rPr/>
        <w:t>Letter Template (used for all recipients)</w:t>
      </w:r>
    </w:p>
    <w:p>
      <w:pPr>
        <w:pStyle w:val="BodyText"/>
        <w:bidi w:val="0"/>
        <w:rPr/>
      </w:pPr>
      <w:r>
        <w:rPr/>
        <w:t>The following template is the master source for all outgoing correspondence in this batch. Ensure that the mail merge engine correctly maps the fields below to the columns in the Recipient Data table.</w:t>
      </w:r>
    </w:p>
    <w:p>
      <w:pPr>
        <w:pStyle w:val="BodyText"/>
        <w:bidi w:val="0"/>
        <w:spacing w:before="300" w:after="300"/>
        <w:ind w:hanging="0" w:start="300" w:end="300"/>
        <w:rPr>
          <w:rFonts w:ascii="Courier New;Courier;monospace" w:hAnsi="Courier New;Courier;monospace"/>
          <w:sz w:val="21"/>
          <w:bdr w:val="single" w:sz="2" w:space="15" w:color="000000"/>
          <w:shd w:fill="F5F5F5" w:val="clear"/>
        </w:rPr>
      </w:pPr>
      <w:r>
        <w:rPr>
          <w:rFonts w:ascii="Courier New;Courier;monospace" w:hAnsi="Courier New;Courier;monospace"/>
          <w:sz w:val="21"/>
          <w:bdr w:val="single" w:sz="2" w:space="15" w:color="000000"/>
          <w:shd w:fill="F5F5F5" w:val="clear"/>
        </w:rPr>
        <w:t>{Date} Dear {Student_Name}, Our records indicate that your tuition account for the {Term} term shows an outstanding balance of {Balance}. As a courtesy reminder, please note the following standard terms that apply to all student accounts: 1. Tuition and mandatory fees are due by the due date shown on your student account statement. Balances not paid by the due date accrue a late fee of 5% of the outstanding amount, capped at $250, in accordance with the Student Financial Services policy manual. 2. Accounts with an outstanding balance of 30 days or more are placed on a payment hold. While a payment hold is active, the student may not register for new courses, request official transcripts, or obtain letters of good standing. 3. Accounts that remain unpaid for 60 days or more are referred to the university's Accounts Receivable unit for further collection action, which may include reporting the balance to consumer credit reporting agencies and referral to outside counsel for recovery, in accordance with the university's collection policy. 4. If you have already paid this balance or believe this notice is in error, please disregard this reminder and contact the Student Financial Services office. Thank you for your prompt attention to this matter. Sincerely, Office of the Registrar Student Financial Services</w:t>
      </w:r>
    </w:p>
    <w:p>
      <w:pPr>
        <w:pStyle w:val="Heading2"/>
        <w:bidi w:val="0"/>
        <w:jc w:val="start"/>
        <w:rPr/>
      </w:pPr>
      <w:r>
        <w:rPr/>
        <w:t>Recipient Data (mail merge source, one row per student)</w:t>
      </w:r>
    </w:p>
    <w:p>
      <w:pPr>
        <w:pStyle w:val="BodyText"/>
        <w:bidi w:val="0"/>
        <w:rPr/>
      </w:pPr>
      <w:r>
        <w:rPr/>
        <w:t xml:space="preserve">The following table lists the 30 students included in this specific batch. All accounts were flagged by the automated aging report as having an outstanding balance as of the close of business on 13 May 2026. The </w:t>
      </w:r>
      <w:r>
        <w:rPr>
          <w:rStyle w:val="Emphasis"/>
        </w:rPr>
        <w:t>Due_Date</w:t>
      </w:r>
      <w:r>
        <w:rPr/>
        <w:t xml:space="preserve"> column reflects the standard payment deadline for this billing cycle.</w:t>
      </w:r>
    </w:p>
    <w:tbl>
      <w:tblPr>
        <w:tblW w:w="5344" w:type="dxa"/>
        <w:jc w:val="start"/>
        <w:tblInd w:w="0" w:type="dxa"/>
        <w:tblLayout w:type="fixed"/>
        <w:tblCellMar>
          <w:top w:w="28" w:type="dxa"/>
          <w:start w:w="28" w:type="dxa"/>
          <w:bottom w:w="28" w:type="dxa"/>
          <w:end w:w="28" w:type="dxa"/>
        </w:tblCellMar>
      </w:tblPr>
      <w:tblGrid>
        <w:gridCol w:w="1846"/>
        <w:gridCol w:w="1006"/>
        <w:gridCol w:w="1066"/>
        <w:gridCol w:w="1426"/>
      </w:tblGrid>
      <w:tr>
        <w:trPr>
          <w:tblHeader w:val="true"/>
        </w:trPr>
        <w:tc>
          <w:tcPr>
            <w:tcW w:w="1846" w:type="dxa"/>
            <w:tcBorders/>
            <w:vAlign w:val="center"/>
          </w:tcPr>
          <w:p>
            <w:pPr>
              <w:pStyle w:val="TableHeading"/>
              <w:suppressLineNumbers/>
              <w:bidi w:val="0"/>
              <w:spacing w:before="0" w:after="180"/>
              <w:jc w:val="center"/>
              <w:rPr/>
            </w:pPr>
            <w:r>
              <w:rPr/>
              <w:t>Student_Name</w:t>
            </w:r>
          </w:p>
        </w:tc>
        <w:tc>
          <w:tcPr>
            <w:tcW w:w="1006" w:type="dxa"/>
            <w:tcBorders/>
            <w:vAlign w:val="center"/>
          </w:tcPr>
          <w:p>
            <w:pPr>
              <w:pStyle w:val="TableHeading"/>
              <w:suppressLineNumbers/>
              <w:bidi w:val="0"/>
              <w:spacing w:before="0" w:after="180"/>
              <w:jc w:val="center"/>
              <w:rPr/>
            </w:pPr>
            <w:r>
              <w:rPr/>
              <w:t>Term</w:t>
            </w:r>
          </w:p>
        </w:tc>
        <w:tc>
          <w:tcPr>
            <w:tcW w:w="1066" w:type="dxa"/>
            <w:tcBorders/>
            <w:vAlign w:val="center"/>
          </w:tcPr>
          <w:p>
            <w:pPr>
              <w:pStyle w:val="TableHeading"/>
              <w:suppressLineNumbers/>
              <w:bidi w:val="0"/>
              <w:spacing w:before="0" w:after="180"/>
              <w:jc w:val="center"/>
              <w:rPr/>
            </w:pPr>
            <w:r>
              <w:rPr/>
              <w:t>Balance</w:t>
            </w:r>
          </w:p>
        </w:tc>
        <w:tc>
          <w:tcPr>
            <w:tcW w:w="1426" w:type="dxa"/>
            <w:tcBorders/>
            <w:vAlign w:val="center"/>
          </w:tcPr>
          <w:p>
            <w:pPr>
              <w:pStyle w:val="TableHeading"/>
              <w:suppressLineNumbers/>
              <w:bidi w:val="0"/>
              <w:spacing w:before="0" w:after="180"/>
              <w:jc w:val="center"/>
              <w:rPr/>
            </w:pPr>
            <w:r>
              <w:rPr/>
              <w:t>Due_Date</w:t>
            </w:r>
          </w:p>
        </w:tc>
      </w:tr>
      <w:tr>
        <w:trPr/>
        <w:tc>
          <w:tcPr>
            <w:tcW w:w="1846" w:type="dxa"/>
            <w:tcBorders/>
            <w:vAlign w:val="center"/>
          </w:tcPr>
          <w:p>
            <w:pPr>
              <w:pStyle w:val="TableContents"/>
              <w:bidi w:val="0"/>
              <w:spacing w:before="0" w:after="180"/>
              <w:rPr/>
            </w:pPr>
            <w:r>
              <w:rPr/>
              <w:t>Jordan Ellis</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$2,410.00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Priya Nair</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$1,875.50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Marcus Webb</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$3,120.00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Sofia Delgado</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$940.25</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Daniel Okafor</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$2,760.00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Lena Fischer</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$1,530.75</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Amara Osei</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$4,015.00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Tomasz Kowalski</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$1,290.00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Hana Suzuki</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$2,205.40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Gabriel Santos</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$1,780.00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Aisha Rahman</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$3,450.00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Peter Novak</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$1,120.00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Mei Lin</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$2,985.00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Owen Gallagher</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$1,640.00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Fatima Al-Sayed</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$2,330.00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Lucas Moreau</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$1,905.00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Ingrid Berg</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$2,575.00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Samuel Adeyemi</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$1,480.00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Nora Haddad</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$3,240.00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Victor Ionescu</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$2,090.00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Chloe Bennett</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$1,715.00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Ravi Patel</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$2,860.00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Elena Petrova</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$1,350.00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Derek Wallace</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$3,675.00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Yuki Tanaka</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$1,995.00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Hassan Ali</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$2,440.00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Isabel Moreno</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$1,580.00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Felix Braun</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$2,720.00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Grace Kim</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$1,865.00</w:t>
            </w:r>
          </w:p>
        </w:tc>
        <w:tc>
          <w:tcPr>
            <w:tcW w:w="1426" w:type="dxa"/>
            <w:tcBorders/>
            <w:vAlign w:val="center"/>
          </w:tcPr>
          <w:p>
            <w:pPr>
              <w:pStyle w:val="TableContents"/>
              <w:bidi w:val="0"/>
              <w:spacing w:before="0" w:after="180"/>
              <w:rPr/>
            </w:pPr>
            <w:r>
              <w:rPr/>
              <w:t>21 May 2026</w:t>
            </w:r>
          </w:p>
        </w:tc>
      </w:tr>
      <w:tr>
        <w:trPr/>
        <w:tc>
          <w:tcPr>
            <w:tcW w:w="1846" w:type="dxa"/>
            <w:tcBorders/>
            <w:vAlign w:val="center"/>
          </w:tcPr>
          <w:p>
            <w:pPr>
              <w:pStyle w:val="TableContents"/>
              <w:bidi w:val="0"/>
              <w:spacing w:before="0" w:after="180"/>
              <w:rPr/>
            </w:pPr>
            <w:r>
              <w:rPr/>
              <w:t>Omar Farouk</w:t>
            </w:r>
          </w:p>
        </w:tc>
        <w:tc>
          <w:tcPr>
            <w:tcW w:w="1006" w:type="dxa"/>
            <w:tcBorders/>
            <w:vAlign w:val="center"/>
          </w:tcPr>
          <w:p>
            <w:pPr>
              <w:pStyle w:val="TableContents"/>
              <w:bidi w:val="0"/>
              <w:spacing w:before="0" w:after="180"/>
              <w:rPr/>
            </w:pPr>
            <w:r>
              <w:rPr/>
              <w:t>Fall 2025</w:t>
            </w:r>
          </w:p>
        </w:tc>
        <w:tc>
          <w:tcPr>
            <w:tcW w:w="1066" w:type="dxa"/>
            <w:tcBorders/>
            <w:vAlign w:val="center"/>
          </w:tcPr>
          <w:p>
            <w:pPr>
              <w:pStyle w:val="TableContents"/>
              <w:bidi w:val="0"/>
              <w:spacing w:before="0" w:after="180"/>
              <w:rPr/>
            </w:pPr>
            <w:r>
              <w:rPr/>
              <w:t>$3,105.00</w:t>
            </w:r>
          </w:p>
        </w:tc>
        <w:tc>
          <w:tcPr>
            <w:tcW w:w="1426" w:type="dxa"/>
            <w:tcBorders/>
            <w:vAlign w:val="center"/>
          </w:tcPr>
          <w:p>
            <w:pPr>
              <w:pStyle w:val="TableContents"/>
              <w:bidi w:val="0"/>
              <w:spacing w:before="0" w:after="180"/>
              <w:rPr/>
            </w:pPr>
            <w:r>
              <w:rPr/>
              <w:t>21 May 2026</w:t>
            </w:r>
          </w:p>
        </w:tc>
      </w:tr>
    </w:tbl>
    <w:p>
      <w:pPr>
        <w:pStyle w:val="Heading3"/>
        <w:bidi w:val="0"/>
        <w:jc w:val="start"/>
        <w:rPr/>
      </w:pPr>
      <w:r>
        <w:rPr/>
        <w:t>Processing Notes for Staff</w:t>
      </w:r>
    </w:p>
    <w:p>
      <w:pPr>
        <w:pStyle w:val="BodyText"/>
        <w:numPr>
          <w:ilvl w:val="0"/>
          <w:numId w:val="1"/>
        </w:numPr>
        <w:tabs>
          <w:tab w:val="clear" w:pos="1134"/>
          <w:tab w:val="left" w:pos="709" w:leader="none"/>
        </w:tabs>
        <w:bidi w:val="0"/>
        <w:spacing w:before="0" w:after="0"/>
        <w:ind w:hanging="283" w:start="709"/>
        <w:rPr/>
      </w:pPr>
      <w:r>
        <w:rPr/>
        <w:t xml:space="preserve">Verify that the </w:t>
      </w:r>
      <w:r>
        <w:rPr>
          <w:rStyle w:val="Strong"/>
        </w:rPr>
        <w:t>Balance</w:t>
      </w:r>
      <w:r>
        <w:rPr/>
        <w:t xml:space="preserve"> figures match the current ledger before initiating the merge. </w:t>
      </w:r>
    </w:p>
    <w:p>
      <w:pPr>
        <w:pStyle w:val="BodyText"/>
        <w:numPr>
          <w:ilvl w:val="0"/>
          <w:numId w:val="1"/>
        </w:numPr>
        <w:tabs>
          <w:tab w:val="clear" w:pos="1134"/>
          <w:tab w:val="left" w:pos="709" w:leader="none"/>
        </w:tabs>
        <w:bidi w:val="0"/>
        <w:spacing w:before="0" w:after="0"/>
        <w:ind w:hanging="283" w:start="709"/>
        <w:rPr/>
      </w:pPr>
      <w:r>
        <w:rPr/>
        <w:t xml:space="preserve">Ensure that the </w:t>
      </w:r>
      <w:r>
        <w:rPr>
          <w:rStyle w:val="Strong"/>
        </w:rPr>
        <w:t>Due_Date</w:t>
      </w:r>
      <w:r>
        <w:rPr/>
        <w:t xml:space="preserve"> is consistent with the academic calendar for the Fall 2025 term. </w:t>
      </w:r>
    </w:p>
    <w:p>
      <w:pPr>
        <w:pStyle w:val="BodyText"/>
        <w:numPr>
          <w:ilvl w:val="0"/>
          <w:numId w:val="1"/>
        </w:numPr>
        <w:tabs>
          <w:tab w:val="clear" w:pos="1134"/>
          <w:tab w:val="left" w:pos="709" w:leader="none"/>
        </w:tabs>
        <w:bidi w:val="0"/>
        <w:spacing w:before="0" w:after="0"/>
        <w:ind w:hanging="283" w:start="709"/>
        <w:rPr/>
      </w:pPr>
      <w:r>
        <w:rPr/>
        <w:t xml:space="preserve">Any discrepancies should be reported to the SFS Data Integrity team immediately. </w:t>
      </w:r>
    </w:p>
    <w:p>
      <w:pPr>
        <w:pStyle w:val="BodyText"/>
        <w:numPr>
          <w:ilvl w:val="0"/>
          <w:numId w:val="1"/>
        </w:numPr>
        <w:tabs>
          <w:tab w:val="clear" w:pos="1134"/>
          <w:tab w:val="left" w:pos="709" w:leader="none"/>
        </w:tabs>
        <w:bidi w:val="0"/>
        <w:ind w:hanging="283" w:start="709"/>
        <w:rPr/>
      </w:pPr>
      <w:r>
        <w:rPr/>
        <w:t xml:space="preserve">Generated letters must be reviewed for formatting errors prior to final export. </w:t>
      </w:r>
    </w:p>
    <w:p>
      <w:pPr>
        <w:pStyle w:val="BodyText"/>
        <w:bidi w:val="0"/>
        <w:spacing w:before="600" w:after="180"/>
        <w:ind w:hanging="0" w:start="0" w:end="0"/>
        <w:jc w:val="center"/>
        <w:rPr/>
      </w:pPr>
      <w:r>
        <w:rPr>
          <w:rStyle w:val="Strong"/>
          <w:i/>
          <w:color w:val="555555"/>
          <w:sz w:val="18"/>
          <w:bdr w:val="single" w:sz="12" w:space="15" w:color="000000"/>
        </w:rPr>
        <w:t>STANDARD TERMS &amp; CONDITIONS — PLEASE READ</w:t>
      </w:r>
    </w:p>
    <w:p>
      <w:pPr>
        <w:pStyle w:val="BodyText"/>
        <w:bidi w:val="0"/>
        <w:spacing w:before="600" w:after="180"/>
        <w:jc w:val="center"/>
        <w:rPr>
          <w:i/>
          <w:color w:val="555555"/>
          <w:sz w:val="18"/>
          <w:bdr w:val="single" w:sz="12" w:space="15" w:color="000000"/>
        </w:rPr>
      </w:pPr>
      <w:r>
        <w:rPr>
          <w:i/>
          <w:color w:val="555555"/>
          <w:sz w:val="18"/>
          <w:bdr w:val="single" w:sz="12" w:space="15" w:color="000000"/>
        </w:rPr>
        <w:t>This document is the property of the Office of the Registrar and contains confidential student financial information (names, balances, and payment history) of current students. It is provided solely for the purpose of producing the weekly tuition reminder batch described above.</w:t>
      </w:r>
    </w:p>
    <w:p>
      <w:pPr>
        <w:pStyle w:val="BodyText"/>
        <w:bidi w:val="0"/>
        <w:spacing w:before="600" w:after="180"/>
        <w:jc w:val="center"/>
        <w:rPr>
          <w:i/>
          <w:color w:val="555555"/>
          <w:sz w:val="18"/>
          <w:bdr w:val="single" w:sz="12" w:space="15" w:color="000000"/>
        </w:rPr>
      </w:pPr>
      <w:r>
        <w:rPr>
          <w:i/>
          <w:color w:val="555555"/>
          <w:sz w:val="18"/>
          <w:bdr w:val="single" w:sz="12" w:space="15" w:color="000000"/>
        </w:rPr>
        <w:t>© 2026 Office of the Registrar. Internal circulation only — this document and any material derived from it (including generated letters and exported copies) are restricted to internal use and may not be reproduced, exported, or redistributed outside the Registrar's office without written authorization from the Director of Student Financial Services.</w:t>
      </w:r>
    </w:p>
    <w:p>
      <w:pPr>
        <w:pStyle w:val="BodyText"/>
        <w:bidi w:val="0"/>
        <w:spacing w:before="450" w:after="180"/>
        <w:ind w:hanging="0" w:start="0" w:end="0"/>
        <w:jc w:val="end"/>
        <w:rPr>
          <w:color w:val="666666"/>
          <w:sz w:val="18"/>
        </w:rPr>
      </w:pPr>
      <w:r>
        <w:rPr>
          <w:color w:val="666666"/>
          <w:sz w:val="18"/>
        </w:rPr>
        <w:t>Document ID: TR-2026-041 | Version 1.0 | Generated: 14 May 2026</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altName w:val="Courier"/>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Times New Roman;Times;serif" w:hAnsi="Times New Roman;Times;serif" w:eastAsia="Times New Roman;Times;serif" w:cs="Times New Roman;Times;serif"/>
      <w:color w:val="333333"/>
      <w:sz w:val="24"/>
      <w:szCs w:val="24"/>
      <w:lang w:val="en-US" w:eastAsia="zh-CN" w:bidi="hi-IN"/>
    </w:rPr>
  </w:style>
  <w:style w:type="paragraph" w:styleId="Heading1">
    <w:name w:val="Heading 1"/>
    <w:basedOn w:val="Heading"/>
    <w:next w:val="BodyText"/>
    <w:qFormat/>
    <w:pPr>
      <w:spacing w:before="240" w:after="75"/>
      <w:jc w:val="center"/>
    </w:pPr>
    <w:rPr>
      <w:rFonts w:ascii="Noto Sans" w:hAnsi="Noto Sans"/>
      <w:b/>
      <w:bCs/>
      <w:caps/>
      <w:spacing w:val="15"/>
      <w:sz w:val="36"/>
      <w:szCs w:val="36"/>
    </w:rPr>
  </w:style>
  <w:style w:type="paragraph" w:styleId="Heading2">
    <w:name w:val="Heading 2"/>
    <w:basedOn w:val="Heading"/>
    <w:next w:val="BodyText"/>
    <w:qFormat/>
    <w:pPr>
      <w:pBdr>
        <w:bottom w:val="single" w:sz="2" w:space="4" w:color="CCCCCC"/>
      </w:pBdr>
      <w:spacing w:before="450" w:after="150"/>
      <w:outlineLvl w:val="1"/>
    </w:pPr>
    <w:rPr>
      <w:rFonts w:ascii="Liberation Serif" w:hAnsi="Liberation Serif" w:eastAsia="Noto Serif CJK SC" w:cs="Noto Sans Devanagari"/>
      <w:b/>
      <w:bCs/>
      <w:caps/>
      <w:sz w:val="27"/>
      <w:szCs w:val="27"/>
    </w:rPr>
  </w:style>
  <w:style w:type="paragraph" w:styleId="Heading3">
    <w:name w:val="Heading 3"/>
    <w:basedOn w:val="Heading"/>
    <w:next w:val="BodyText"/>
    <w:qFormat/>
    <w:pPr>
      <w:spacing w:before="300" w:after="150"/>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Tuition Reminders Internal Batch TR-2026-041</dc:title>
</cp:coreProperties>
</file>

<file path=docProps/custom.xml><?xml version="1.0" encoding="utf-8"?>
<Properties xmlns="http://schemas.openxmlformats.org/officeDocument/2006/custom-properties" xmlns:vt="http://schemas.openxmlformats.org/officeDocument/2006/docPropsVTypes"/>
</file>