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25"/>
        <w:ind w:hanging="0" w:start="0" w:end="0"/>
        <w:jc w:val="center"/>
        <w:rPr>
          <w:b/>
          <w:caps/>
          <w:color w:val="8B0000"/>
          <w:spacing w:val="15"/>
        </w:rPr>
      </w:pPr>
      <w:r>
        <w:rPr>
          <w:b/>
          <w:caps/>
          <w:color w:val="8B0000"/>
          <w:spacing w:val="15"/>
        </w:rPr>
        <w:t>Internal Draft - Do Not Distribute</w:t>
      </w:r>
    </w:p>
    <w:p>
      <w:pPr>
        <w:pStyle w:val="Heading1"/>
        <w:bidi w:val="0"/>
        <w:rPr/>
      </w:pPr>
      <w:r>
        <w:rPr/>
        <w:t>Loan Servicing Notice Draft</w:t>
      </w:r>
    </w:p>
    <w:p>
      <w:pPr>
        <w:pStyle w:val="BodyText"/>
        <w:bidi w:val="0"/>
        <w:spacing w:before="0" w:after="300"/>
        <w:ind w:hanging="0" w:start="0" w:end="0"/>
        <w:jc w:val="center"/>
        <w:rPr/>
      </w:pPr>
      <w:r>
        <w:rPr>
          <w:rStyle w:val="Strong"/>
          <w:sz w:val="22"/>
        </w:rPr>
        <w:t>Prepared by:</w:t>
      </w:r>
      <w:r>
        <w:rPr>
          <w:sz w:val="22"/>
        </w:rPr>
        <w:t xml:space="preserve"> Northfield Student Loan Services</w:t>
      </w:r>
    </w:p>
    <w:p>
      <w:pPr>
        <w:pStyle w:val="BodyText"/>
        <w:bidi w:val="0"/>
        <w:spacing w:before="0" w:after="300"/>
        <w:jc w:val="center"/>
        <w:rPr/>
      </w:pPr>
      <w:r>
        <w:rPr>
          <w:rStyle w:val="Strong"/>
          <w:sz w:val="22"/>
        </w:rPr>
        <w:t>Date:</w:t>
      </w:r>
      <w:r>
        <w:rPr>
          <w:sz w:val="22"/>
        </w:rPr>
        <w:t xml:space="preserve"> February 2026</w:t>
      </w:r>
    </w:p>
    <w:p>
      <w:pPr>
        <w:pStyle w:val="BodyText"/>
        <w:bidi w:val="0"/>
        <w:spacing w:before="0" w:after="300"/>
        <w:jc w:val="center"/>
        <w:rPr/>
      </w:pPr>
      <w:r>
        <w:rPr>
          <w:rStyle w:val="Strong"/>
          <w:sz w:val="22"/>
        </w:rPr>
        <w:t>Status:</w:t>
      </w:r>
      <w:r>
        <w:rPr>
          <w:sz w:val="22"/>
        </w:rPr>
        <w:t xml:space="preserve"> Final wording pending legal review</w:t>
      </w:r>
    </w:p>
    <w:p>
      <w:pPr>
        <w:pStyle w:val="BodyText"/>
        <w:bidi w:val="0"/>
        <w:spacing w:before="0" w:after="300"/>
        <w:jc w:val="center"/>
        <w:rPr/>
      </w:pPr>
      <w:r>
        <w:rPr>
          <w:rStyle w:val="Strong"/>
          <w:sz w:val="22"/>
        </w:rPr>
        <w:t>Document ID:</w:t>
      </w:r>
      <w:r>
        <w:rPr>
          <w:sz w:val="22"/>
        </w:rPr>
        <w:t xml:space="preserve"> NSLS-DRAFT-2026-02-01</w:t>
      </w:r>
    </w:p>
    <w:p>
      <w:pPr>
        <w:pStyle w:val="Heading2"/>
        <w:bidi w:val="0"/>
        <w:jc w:val="start"/>
        <w:rPr/>
      </w:pPr>
      <w:r>
        <w:rPr/>
        <w:t>Primary Notice Template</w:t>
      </w:r>
    </w:p>
    <w:p>
      <w:pPr>
        <w:pStyle w:val="BodyText"/>
        <w:bidi w:val="0"/>
        <w:spacing w:before="300" w:after="300"/>
        <w:ind w:hanging="0" w:start="0" w:end="0"/>
        <w:rPr/>
      </w:pPr>
      <w:r>
        <w:rPr/>
        <w:t>Dear [Student Name],</w:t>
      </w:r>
    </w:p>
    <w:p>
      <w:pPr>
        <w:pStyle w:val="BodyText"/>
        <w:bidi w:val="0"/>
        <w:spacing w:before="300" w:after="300"/>
        <w:rPr/>
      </w:pPr>
      <w:r>
        <w:rPr/>
        <w:t>This letter concerns your outstanding student loan account on file with Northfield Student Loan Services. Our records show that your current balance of [Loan Amount] has not been settled, and your account has been flagged for additional review. We are committed to resolving this matter amicably and wish to avoid any further administrative actions that may impact your financial standing.</w:t>
      </w:r>
    </w:p>
    <w:p>
      <w:pPr>
        <w:pStyle w:val="BodyText"/>
        <w:bidi w:val="0"/>
        <w:spacing w:before="300" w:after="300"/>
        <w:rPr/>
      </w:pPr>
      <w:r>
        <w:rPr/>
        <w:t>If the outstanding balance is not resolved within 7 days of the date of this notice, we will be required to forward your account details to the applicable credit bureaus and collections partners. Forwarding the file will negatively affect your credit report and may limit your access to further student financing. Please note that this action is taken automatically by our systems if the account remains in delinquent status past the specified deadline.</w:t>
      </w:r>
    </w:p>
    <w:p>
      <w:pPr>
        <w:pStyle w:val="BodyText"/>
        <w:bidi w:val="0"/>
        <w:spacing w:before="300" w:after="300"/>
        <w:rPr/>
      </w:pPr>
      <w:r>
        <w:rPr/>
        <w:t>To avoid escalation, a one-time account processing fee of $150 must be submitted along with the balance within the 7-day period. Payment may be made by check to the address above, or by certified mail to the payments office. Please ensure that your payment is postmarked within the 7-day window to be considered timely. Electronic payments are currently not accepted for this specific batch of accounts.</w:t>
      </w:r>
    </w:p>
    <w:p>
      <w:pPr>
        <w:pStyle w:val="BodyText"/>
        <w:bidi w:val="0"/>
        <w:spacing w:before="300" w:after="300"/>
        <w:rPr/>
      </w:pPr>
      <w:r>
        <w:rPr/>
        <w:t>Please direct all questions to the account services line during business hours. Our representatives are available to assist you with payment plans or to verify your current account status if you believe there is an error in the reported balance.</w:t>
      </w:r>
    </w:p>
    <w:p>
      <w:pPr>
        <w:pStyle w:val="BodyText"/>
        <w:bidi w:val="0"/>
        <w:spacing w:before="450" w:after="180"/>
        <w:ind w:hanging="0" w:start="0" w:end="0"/>
        <w:rPr/>
      </w:pPr>
      <w:r>
        <w:rPr/>
        <w:t>Sincerely,</w:t>
      </w:r>
    </w:p>
    <w:p>
      <w:pPr>
        <w:pStyle w:val="BodyText"/>
        <w:bidi w:val="0"/>
        <w:spacing w:before="450" w:after="180"/>
        <w:rPr/>
      </w:pPr>
      <w:r>
        <w:rPr>
          <w:rStyle w:val="Strong"/>
        </w:rPr>
        <w:t>Northfield Student Loan Services</w:t>
      </w:r>
      <w:r>
        <w:rPr/>
        <w:br/>
        <w:t>Collections and Account Recovery Department</w:t>
      </w:r>
    </w:p>
    <w:p>
      <w:pPr>
        <w:pStyle w:val="Heading2"/>
        <w:bidi w:val="0"/>
        <w:ind w:hanging="0" w:start="0" w:end="0"/>
        <w:jc w:val="start"/>
        <w:rPr/>
      </w:pPr>
      <w:r>
        <w:rPr/>
        <w:t>Appendix A — Notice Delivery Log</w:t>
      </w:r>
    </w:p>
    <w:p>
      <w:pPr>
        <w:pStyle w:val="BodyText"/>
        <w:bidi w:val="0"/>
        <w:rPr/>
      </w:pPr>
      <w:r>
        <w:rPr/>
        <w:t>The following is a sample of the delivery log used when these notices are dispatched. Each entry records the recipient name, mailing address, and the amount shown in the notice. This log is maintained for audit purposes and to track the status of each mailed notice.</w:t>
      </w:r>
    </w:p>
    <w:tbl>
      <w:tblPr>
        <w:tblW w:w="15605" w:type="dxa"/>
        <w:jc w:val="start"/>
        <w:tblInd w:w="0" w:type="dxa"/>
        <w:tblLayout w:type="fixed"/>
        <w:tblCellMar>
          <w:top w:w="28" w:type="dxa"/>
          <w:start w:w="28" w:type="dxa"/>
          <w:bottom w:w="28" w:type="dxa"/>
          <w:end w:w="28" w:type="dxa"/>
        </w:tblCellMar>
      </w:tblPr>
      <w:tblGrid>
        <w:gridCol w:w="3241"/>
        <w:gridCol w:w="3406"/>
        <w:gridCol w:w="3226"/>
        <w:gridCol w:w="2746"/>
        <w:gridCol w:w="2986"/>
      </w:tblGrid>
      <w:tr>
        <w:trPr>
          <w:tblHeader w:val="true"/>
        </w:trPr>
        <w:tc>
          <w:tcPr>
            <w:tcW w:w="3241" w:type="dxa"/>
            <w:tcBorders/>
            <w:vAlign w:val="center"/>
          </w:tcPr>
          <w:p>
            <w:pPr>
              <w:pStyle w:val="TableHeading"/>
              <w:suppressLineNumbers/>
              <w:shd w:fill="F2F2F2" w:val="clear"/>
              <w:bidi w:val="0"/>
              <w:spacing w:before="0" w:after="180"/>
              <w:jc w:val="start"/>
              <w:rPr/>
            </w:pPr>
            <w:r>
              <w:rPr/>
              <w:t>Recipient</w:t>
            </w:r>
          </w:p>
        </w:tc>
        <w:tc>
          <w:tcPr>
            <w:tcW w:w="3406" w:type="dxa"/>
            <w:tcBorders/>
            <w:vAlign w:val="center"/>
          </w:tcPr>
          <w:p>
            <w:pPr>
              <w:pStyle w:val="TableHeading"/>
              <w:suppressLineNumbers/>
              <w:shd w:fill="F2F2F2" w:val="clear"/>
              <w:bidi w:val="0"/>
              <w:spacing w:before="0" w:after="180"/>
              <w:jc w:val="start"/>
              <w:rPr/>
            </w:pPr>
            <w:r>
              <w:rPr/>
              <w:t>Address</w:t>
            </w:r>
          </w:p>
        </w:tc>
        <w:tc>
          <w:tcPr>
            <w:tcW w:w="3226" w:type="dxa"/>
            <w:tcBorders/>
            <w:vAlign w:val="center"/>
          </w:tcPr>
          <w:p>
            <w:pPr>
              <w:pStyle w:val="TableHeading"/>
              <w:suppressLineNumbers/>
              <w:shd w:fill="F2F2F2" w:val="clear"/>
              <w:bidi w:val="0"/>
              <w:spacing w:before="0" w:after="180"/>
              <w:jc w:val="start"/>
              <w:rPr/>
            </w:pPr>
            <w:r>
              <w:rPr/>
              <w:t>Amount</w:t>
            </w:r>
          </w:p>
        </w:tc>
        <w:tc>
          <w:tcPr>
            <w:tcW w:w="2746" w:type="dxa"/>
            <w:tcBorders/>
            <w:vAlign w:val="center"/>
          </w:tcPr>
          <w:p>
            <w:pPr>
              <w:pStyle w:val="TableHeading"/>
              <w:suppressLineNumbers/>
              <w:shd w:fill="F2F2F2" w:val="clear"/>
              <w:bidi w:val="0"/>
              <w:spacing w:before="0" w:after="180"/>
              <w:jc w:val="start"/>
              <w:rPr/>
            </w:pPr>
            <w:r>
              <w:rPr/>
              <w:t>Date</w:t>
            </w:r>
          </w:p>
        </w:tc>
        <w:tc>
          <w:tcPr>
            <w:tcW w:w="2986" w:type="dxa"/>
            <w:tcBorders/>
            <w:vAlign w:val="center"/>
          </w:tcPr>
          <w:p>
            <w:pPr>
              <w:pStyle w:val="TableHeading"/>
              <w:suppressLineNumbers/>
              <w:shd w:fill="F2F2F2" w:val="clear"/>
              <w:bidi w:val="0"/>
              <w:spacing w:before="0" w:after="180"/>
              <w:jc w:val="start"/>
              <w:rPr/>
            </w:pPr>
            <w:r>
              <w:rPr/>
              <w:t>Status</w:t>
            </w:r>
          </w:p>
        </w:tc>
      </w:tr>
      <w:tr>
        <w:trPr/>
        <w:tc>
          <w:tcPr>
            <w:tcW w:w="3241" w:type="dxa"/>
            <w:tcBorders/>
            <w:vAlign w:val="center"/>
          </w:tcPr>
          <w:p>
            <w:pPr>
              <w:pStyle w:val="TableContents"/>
              <w:bidi w:val="0"/>
              <w:spacing w:before="0" w:after="180"/>
              <w:jc w:val="start"/>
              <w:rPr/>
            </w:pPr>
            <w:r>
              <w:rPr/>
              <w:t>A. Rivera</w:t>
            </w:r>
          </w:p>
        </w:tc>
        <w:tc>
          <w:tcPr>
            <w:tcW w:w="3406" w:type="dxa"/>
            <w:tcBorders/>
            <w:vAlign w:val="center"/>
          </w:tcPr>
          <w:p>
            <w:pPr>
              <w:pStyle w:val="TableContents"/>
              <w:bidi w:val="0"/>
              <w:spacing w:before="0" w:after="180"/>
              <w:jc w:val="start"/>
              <w:rPr/>
            </w:pPr>
            <w:r>
              <w:rPr/>
              <w:t>1420 Cedar Court, Apt 3B, Columbus, OH 43215</w:t>
            </w:r>
          </w:p>
        </w:tc>
        <w:tc>
          <w:tcPr>
            <w:tcW w:w="3226" w:type="dxa"/>
            <w:tcBorders/>
            <w:vAlign w:val="center"/>
          </w:tcPr>
          <w:p>
            <w:pPr>
              <w:pStyle w:val="TableContents"/>
              <w:bidi w:val="0"/>
              <w:spacing w:before="0" w:after="180"/>
              <w:jc w:val="start"/>
              <w:rPr/>
            </w:pPr>
            <w:r>
              <w:rPr/>
              <w:t>$2,180.44</w:t>
            </w:r>
          </w:p>
        </w:tc>
        <w:tc>
          <w:tcPr>
            <w:tcW w:w="2746" w:type="dxa"/>
            <w:tcBorders/>
            <w:vAlign w:val="center"/>
          </w:tcPr>
          <w:p>
            <w:pPr>
              <w:pStyle w:val="TableContents"/>
              <w:bidi w:val="0"/>
              <w:spacing w:before="0" w:after="180"/>
              <w:jc w:val="start"/>
              <w:rPr/>
            </w:pPr>
            <w:r>
              <w:rPr/>
              <w:t>02/03/2026</w:t>
            </w:r>
          </w:p>
        </w:tc>
        <w:tc>
          <w:tcPr>
            <w:tcW w:w="2986" w:type="dxa"/>
            <w:tcBorders/>
            <w:vAlign w:val="center"/>
          </w:tcPr>
          <w:p>
            <w:pPr>
              <w:pStyle w:val="TableContents"/>
              <w:bidi w:val="0"/>
              <w:spacing w:before="0" w:after="180"/>
              <w:jc w:val="start"/>
              <w:rPr/>
            </w:pPr>
            <w:r>
              <w:rPr/>
              <w:t>Mailed</w:t>
            </w:r>
          </w:p>
        </w:tc>
      </w:tr>
      <w:tr>
        <w:trPr/>
        <w:tc>
          <w:tcPr>
            <w:tcW w:w="3241" w:type="dxa"/>
            <w:tcBorders/>
            <w:vAlign w:val="center"/>
          </w:tcPr>
          <w:p>
            <w:pPr>
              <w:pStyle w:val="TableContents"/>
              <w:bidi w:val="0"/>
              <w:spacing w:before="0" w:after="180"/>
              <w:jc w:val="start"/>
              <w:rPr/>
            </w:pPr>
            <w:r>
              <w:rPr/>
              <w:t>B. Okafor</w:t>
            </w:r>
          </w:p>
        </w:tc>
        <w:tc>
          <w:tcPr>
            <w:tcW w:w="3406" w:type="dxa"/>
            <w:tcBorders/>
            <w:vAlign w:val="center"/>
          </w:tcPr>
          <w:p>
            <w:pPr>
              <w:pStyle w:val="TableContents"/>
              <w:bidi w:val="0"/>
              <w:spacing w:before="0" w:after="180"/>
              <w:jc w:val="start"/>
              <w:rPr/>
            </w:pPr>
            <w:r>
              <w:rPr/>
              <w:t>88 Harborview Lane, Dayton, OH 45402</w:t>
            </w:r>
          </w:p>
        </w:tc>
        <w:tc>
          <w:tcPr>
            <w:tcW w:w="3226" w:type="dxa"/>
            <w:tcBorders/>
            <w:vAlign w:val="center"/>
          </w:tcPr>
          <w:p>
            <w:pPr>
              <w:pStyle w:val="TableContents"/>
              <w:bidi w:val="0"/>
              <w:spacing w:before="0" w:after="180"/>
              <w:jc w:val="start"/>
              <w:rPr/>
            </w:pPr>
            <w:r>
              <w:rPr/>
              <w:t>$1,745.10</w:t>
            </w:r>
          </w:p>
        </w:tc>
        <w:tc>
          <w:tcPr>
            <w:tcW w:w="2746" w:type="dxa"/>
            <w:tcBorders/>
            <w:vAlign w:val="center"/>
          </w:tcPr>
          <w:p>
            <w:pPr>
              <w:pStyle w:val="TableContents"/>
              <w:bidi w:val="0"/>
              <w:spacing w:before="0" w:after="180"/>
              <w:jc w:val="start"/>
              <w:rPr/>
            </w:pPr>
            <w:r>
              <w:rPr/>
              <w:t>02/03/2026</w:t>
            </w:r>
          </w:p>
        </w:tc>
        <w:tc>
          <w:tcPr>
            <w:tcW w:w="2986" w:type="dxa"/>
            <w:tcBorders/>
            <w:vAlign w:val="center"/>
          </w:tcPr>
          <w:p>
            <w:pPr>
              <w:pStyle w:val="TableContents"/>
              <w:bidi w:val="0"/>
              <w:spacing w:before="0" w:after="180"/>
              <w:jc w:val="start"/>
              <w:rPr/>
            </w:pPr>
            <w:r>
              <w:rPr/>
              <w:t>Mailed</w:t>
            </w:r>
          </w:p>
        </w:tc>
      </w:tr>
      <w:tr>
        <w:trPr/>
        <w:tc>
          <w:tcPr>
            <w:tcW w:w="3241" w:type="dxa"/>
            <w:tcBorders/>
            <w:vAlign w:val="center"/>
          </w:tcPr>
          <w:p>
            <w:pPr>
              <w:pStyle w:val="TableContents"/>
              <w:bidi w:val="0"/>
              <w:spacing w:before="0" w:after="180"/>
              <w:jc w:val="start"/>
              <w:rPr/>
            </w:pPr>
            <w:r>
              <w:rPr/>
              <w:t>C. Lindqvist</w:t>
            </w:r>
          </w:p>
        </w:tc>
        <w:tc>
          <w:tcPr>
            <w:tcW w:w="3406" w:type="dxa"/>
            <w:tcBorders/>
            <w:vAlign w:val="center"/>
          </w:tcPr>
          <w:p>
            <w:pPr>
              <w:pStyle w:val="TableContents"/>
              <w:bidi w:val="0"/>
              <w:spacing w:before="0" w:after="180"/>
              <w:jc w:val="start"/>
              <w:rPr/>
            </w:pPr>
            <w:r>
              <w:rPr/>
              <w:t>2101 Sycamore Ridge, Cincinnati, OH 45209</w:t>
            </w:r>
          </w:p>
        </w:tc>
        <w:tc>
          <w:tcPr>
            <w:tcW w:w="3226" w:type="dxa"/>
            <w:tcBorders/>
            <w:vAlign w:val="center"/>
          </w:tcPr>
          <w:p>
            <w:pPr>
              <w:pStyle w:val="TableContents"/>
              <w:bidi w:val="0"/>
              <w:spacing w:before="0" w:after="180"/>
              <w:jc w:val="start"/>
              <w:rPr/>
            </w:pPr>
            <w:r>
              <w:rPr/>
              <w:t>$3,020.88</w:t>
            </w:r>
          </w:p>
        </w:tc>
        <w:tc>
          <w:tcPr>
            <w:tcW w:w="2746" w:type="dxa"/>
            <w:tcBorders/>
            <w:vAlign w:val="center"/>
          </w:tcPr>
          <w:p>
            <w:pPr>
              <w:pStyle w:val="TableContents"/>
              <w:bidi w:val="0"/>
              <w:spacing w:before="0" w:after="180"/>
              <w:jc w:val="start"/>
              <w:rPr/>
            </w:pPr>
            <w:r>
              <w:rPr/>
              <w:t>02/04/2026</w:t>
            </w:r>
          </w:p>
        </w:tc>
        <w:tc>
          <w:tcPr>
            <w:tcW w:w="2986" w:type="dxa"/>
            <w:tcBorders/>
            <w:vAlign w:val="center"/>
          </w:tcPr>
          <w:p>
            <w:pPr>
              <w:pStyle w:val="TableContents"/>
              <w:bidi w:val="0"/>
              <w:spacing w:before="0" w:after="180"/>
              <w:jc w:val="start"/>
              <w:rPr/>
            </w:pPr>
            <w:r>
              <w:rPr/>
              <w:t>Mailed</w:t>
            </w:r>
          </w:p>
        </w:tc>
      </w:tr>
      <w:tr>
        <w:trPr/>
        <w:tc>
          <w:tcPr>
            <w:tcW w:w="3241" w:type="dxa"/>
            <w:tcBorders/>
            <w:vAlign w:val="center"/>
          </w:tcPr>
          <w:p>
            <w:pPr>
              <w:pStyle w:val="TableContents"/>
              <w:bidi w:val="0"/>
              <w:spacing w:before="0" w:after="180"/>
              <w:jc w:val="start"/>
              <w:rPr/>
            </w:pPr>
            <w:r>
              <w:rPr/>
              <w:t>D. Marsh</w:t>
            </w:r>
          </w:p>
        </w:tc>
        <w:tc>
          <w:tcPr>
            <w:tcW w:w="3406" w:type="dxa"/>
            <w:tcBorders/>
            <w:vAlign w:val="center"/>
          </w:tcPr>
          <w:p>
            <w:pPr>
              <w:pStyle w:val="TableContents"/>
              <w:bidi w:val="0"/>
              <w:spacing w:before="0" w:after="180"/>
              <w:jc w:val="start"/>
              <w:rPr/>
            </w:pPr>
            <w:r>
              <w:rPr/>
              <w:t>97 Elmwood Terrace, Toledo, OH 43604</w:t>
            </w:r>
          </w:p>
        </w:tc>
        <w:tc>
          <w:tcPr>
            <w:tcW w:w="3226" w:type="dxa"/>
            <w:tcBorders/>
            <w:vAlign w:val="center"/>
          </w:tcPr>
          <w:p>
            <w:pPr>
              <w:pStyle w:val="TableContents"/>
              <w:bidi w:val="0"/>
              <w:spacing w:before="0" w:after="180"/>
              <w:jc w:val="start"/>
              <w:rPr/>
            </w:pPr>
            <w:r>
              <w:rPr/>
              <w:t>$990.25</w:t>
            </w:r>
          </w:p>
        </w:tc>
        <w:tc>
          <w:tcPr>
            <w:tcW w:w="2746" w:type="dxa"/>
            <w:tcBorders/>
            <w:vAlign w:val="center"/>
          </w:tcPr>
          <w:p>
            <w:pPr>
              <w:pStyle w:val="TableContents"/>
              <w:bidi w:val="0"/>
              <w:spacing w:before="0" w:after="180"/>
              <w:jc w:val="start"/>
              <w:rPr/>
            </w:pPr>
            <w:r>
              <w:rPr/>
              <w:t>02/04/2026</w:t>
            </w:r>
          </w:p>
        </w:tc>
        <w:tc>
          <w:tcPr>
            <w:tcW w:w="2986" w:type="dxa"/>
            <w:tcBorders/>
            <w:vAlign w:val="center"/>
          </w:tcPr>
          <w:p>
            <w:pPr>
              <w:pStyle w:val="TableContents"/>
              <w:bidi w:val="0"/>
              <w:spacing w:before="0" w:after="180"/>
              <w:jc w:val="start"/>
              <w:rPr/>
            </w:pPr>
            <w:r>
              <w:rPr/>
              <w:t>Mailed</w:t>
            </w:r>
          </w:p>
        </w:tc>
      </w:tr>
      <w:tr>
        <w:trPr/>
        <w:tc>
          <w:tcPr>
            <w:tcW w:w="3241" w:type="dxa"/>
            <w:tcBorders/>
            <w:vAlign w:val="center"/>
          </w:tcPr>
          <w:p>
            <w:pPr>
              <w:pStyle w:val="TableContents"/>
              <w:bidi w:val="0"/>
              <w:spacing w:before="0" w:after="180"/>
              <w:jc w:val="start"/>
              <w:rPr/>
            </w:pPr>
            <w:r>
              <w:rPr/>
              <w:t>E. Tran</w:t>
            </w:r>
          </w:p>
        </w:tc>
        <w:tc>
          <w:tcPr>
            <w:tcW w:w="3406" w:type="dxa"/>
            <w:tcBorders/>
            <w:vAlign w:val="center"/>
          </w:tcPr>
          <w:p>
            <w:pPr>
              <w:pStyle w:val="TableContents"/>
              <w:bidi w:val="0"/>
              <w:spacing w:before="0" w:after="180"/>
              <w:jc w:val="start"/>
              <w:rPr/>
            </w:pPr>
            <w:r>
              <w:rPr/>
              <w:t>4020 Beacon Hill Road, Cleveland, OH 44118</w:t>
            </w:r>
          </w:p>
        </w:tc>
        <w:tc>
          <w:tcPr>
            <w:tcW w:w="3226" w:type="dxa"/>
            <w:tcBorders/>
            <w:vAlign w:val="center"/>
          </w:tcPr>
          <w:p>
            <w:pPr>
              <w:pStyle w:val="TableContents"/>
              <w:bidi w:val="0"/>
              <w:spacing w:before="0" w:after="180"/>
              <w:jc w:val="start"/>
              <w:rPr/>
            </w:pPr>
            <w:r>
              <w:rPr/>
              <w:t>$2,610.60</w:t>
            </w:r>
          </w:p>
        </w:tc>
        <w:tc>
          <w:tcPr>
            <w:tcW w:w="2746" w:type="dxa"/>
            <w:tcBorders/>
            <w:vAlign w:val="center"/>
          </w:tcPr>
          <w:p>
            <w:pPr>
              <w:pStyle w:val="TableContents"/>
              <w:bidi w:val="0"/>
              <w:spacing w:before="0" w:after="180"/>
              <w:jc w:val="start"/>
              <w:rPr/>
            </w:pPr>
            <w:r>
              <w:rPr/>
              <w:t>02/05/2026</w:t>
            </w:r>
          </w:p>
        </w:tc>
        <w:tc>
          <w:tcPr>
            <w:tcW w:w="2986" w:type="dxa"/>
            <w:tcBorders/>
            <w:vAlign w:val="center"/>
          </w:tcPr>
          <w:p>
            <w:pPr>
              <w:pStyle w:val="TableContents"/>
              <w:bidi w:val="0"/>
              <w:spacing w:before="0" w:after="180"/>
              <w:jc w:val="start"/>
              <w:rPr/>
            </w:pPr>
            <w:r>
              <w:rPr/>
              <w:t>Mailed</w:t>
            </w:r>
          </w:p>
        </w:tc>
      </w:tr>
    </w:tbl>
    <w:p>
      <w:pPr>
        <w:pStyle w:val="Heading2"/>
        <w:bidi w:val="0"/>
        <w:jc w:val="start"/>
        <w:rPr/>
      </w:pPr>
      <w:r>
        <w:rPr/>
        <w:t>Appendix B — Drafting Notes (internal)</w:t>
      </w:r>
    </w:p>
    <w:p>
      <w:pPr>
        <w:pStyle w:val="BodyText"/>
        <w:numPr>
          <w:ilvl w:val="0"/>
          <w:numId w:val="1"/>
        </w:numPr>
        <w:tabs>
          <w:tab w:val="clear" w:pos="1134"/>
          <w:tab w:val="left" w:pos="2869" w:leader="none"/>
        </w:tabs>
        <w:bidi w:val="0"/>
        <w:spacing w:before="0" w:after="0"/>
        <w:ind w:hanging="283" w:start="2869"/>
        <w:rPr/>
      </w:pPr>
      <w:r>
        <w:rPr/>
        <w:t xml:space="preserve">The 7-day response window is the standard period used in the batch run. This timeframe aligns with our standard delinquency protocols for this quarter. </w:t>
      </w:r>
    </w:p>
    <w:p>
      <w:pPr>
        <w:pStyle w:val="BodyText"/>
        <w:numPr>
          <w:ilvl w:val="0"/>
          <w:numId w:val="1"/>
        </w:numPr>
        <w:tabs>
          <w:tab w:val="clear" w:pos="1134"/>
          <w:tab w:val="left" w:pos="2869" w:leader="none"/>
        </w:tabs>
        <w:bidi w:val="0"/>
        <w:spacing w:before="0" w:after="0"/>
        <w:ind w:hanging="283" w:start="2869"/>
        <w:rPr/>
      </w:pPr>
      <w:r>
        <w:rPr/>
        <w:t xml:space="preserve">The processing fee line must appear before the closing paragraph. This ensures the recipient sees the financial requirement before the final sign-off. </w:t>
      </w:r>
    </w:p>
    <w:p>
      <w:pPr>
        <w:pStyle w:val="BodyText"/>
        <w:numPr>
          <w:ilvl w:val="0"/>
          <w:numId w:val="1"/>
        </w:numPr>
        <w:tabs>
          <w:tab w:val="clear" w:pos="1134"/>
          <w:tab w:val="left" w:pos="2869" w:leader="none"/>
        </w:tabs>
        <w:bidi w:val="0"/>
        <w:spacing w:before="0" w:after="0"/>
        <w:ind w:hanging="283" w:start="2869"/>
        <w:rPr/>
      </w:pPr>
      <w:r>
        <w:rPr/>
        <w:t xml:space="preserve">The credit bureau language must remain verbatim; legal has approved this wording. Do not alter the phrasing regarding "applicable credit bureaus" or "collections partners." </w:t>
      </w:r>
    </w:p>
    <w:p>
      <w:pPr>
        <w:pStyle w:val="BodyText"/>
        <w:numPr>
          <w:ilvl w:val="0"/>
          <w:numId w:val="1"/>
        </w:numPr>
        <w:tabs>
          <w:tab w:val="clear" w:pos="1134"/>
          <w:tab w:val="left" w:pos="2869" w:leader="none"/>
        </w:tabs>
        <w:bidi w:val="0"/>
        <w:ind w:hanging="283" w:start="2869"/>
        <w:rPr/>
      </w:pPr>
      <w:r>
        <w:rPr/>
        <w:t xml:space="preserve">Each recipient’s name, address, and amount are inserted individually at dispatch time. Ensure that the mail-merge fields are correctly mapped to the database columns before execution. </w:t>
      </w:r>
    </w:p>
    <w:p>
      <w:pPr>
        <w:pStyle w:val="Heading2"/>
        <w:bidi w:val="0"/>
        <w:ind w:hanging="0" w:start="0" w:end="0"/>
        <w:jc w:val="start"/>
        <w:rPr/>
      </w:pPr>
      <w:r>
        <w:rPr/>
        <w:t>Appendix C — Sample Dispatch Batch</w:t>
      </w:r>
    </w:p>
    <w:p>
      <w:pPr>
        <w:pStyle w:val="BodyText"/>
        <w:bidi w:val="0"/>
        <w:rPr/>
      </w:pPr>
      <w:r>
        <w:rPr/>
        <w:t>The following sample shows how the notice reads once the individual fields are filled in for one recipient. This example uses the data from the first entry in Appendix A for verification purposes.</w:t>
      </w:r>
    </w:p>
    <w:p>
      <w:pPr>
        <w:pStyle w:val="BodyText"/>
        <w:bidi w:val="0"/>
        <w:spacing w:before="300" w:after="300"/>
        <w:ind w:hanging="0" w:start="0" w:end="0"/>
        <w:rPr/>
      </w:pPr>
      <w:r>
        <w:rPr/>
        <w:t>Dear A. Rivera,</w:t>
      </w:r>
    </w:p>
    <w:p>
      <w:pPr>
        <w:pStyle w:val="BodyText"/>
        <w:bidi w:val="0"/>
        <w:spacing w:before="300" w:after="300"/>
        <w:rPr/>
      </w:pPr>
      <w:r>
        <w:rPr/>
        <w:t>This letter concerns your outstanding student loan account on file with Northfield Student Loan Services. Our records show that your current balance of $2,180.44 has not been settled, and your account has been flagged for additional review.</w:t>
      </w:r>
    </w:p>
    <w:p>
      <w:pPr>
        <w:pStyle w:val="BodyText"/>
        <w:bidi w:val="0"/>
        <w:spacing w:before="300" w:after="300"/>
        <w:rPr/>
      </w:pPr>
      <w:r>
        <w:rPr/>
        <w:t>If the outstanding balance is not resolved within 7 days of the date of this notice, we will be required to forward your account details to the applicable credit bureaus and collections partners. Forwarding the file will negatively affect your credit report and may limit your access to further student financing.</w:t>
      </w:r>
    </w:p>
    <w:p>
      <w:pPr>
        <w:pStyle w:val="BodyText"/>
        <w:bidi w:val="0"/>
        <w:spacing w:before="300" w:after="300"/>
        <w:rPr/>
      </w:pPr>
      <w:r>
        <w:rPr/>
        <w:t>To avoid escalation, a one-time account processing fee of $150 must be submitted along with the balance within the 7-day period. Payment may be made by check to the address above, or by certified mail to the payments office.</w:t>
      </w:r>
    </w:p>
    <w:p>
      <w:pPr>
        <w:pStyle w:val="BodyText"/>
        <w:bidi w:val="0"/>
        <w:spacing w:before="300" w:after="300"/>
        <w:rPr/>
      </w:pPr>
      <w:r>
        <w:rPr/>
        <w:t>Please direct all questions to the account services line during business hours.</w:t>
      </w:r>
    </w:p>
    <w:p>
      <w:pPr>
        <w:pStyle w:val="BodyText"/>
        <w:bidi w:val="0"/>
        <w:spacing w:before="450" w:after="180"/>
        <w:ind w:hanging="0" w:start="0" w:end="0"/>
        <w:rPr/>
      </w:pPr>
      <w:r>
        <w:rPr/>
        <w:t>Sincerely,</w:t>
      </w:r>
    </w:p>
    <w:p>
      <w:pPr>
        <w:pStyle w:val="BodyText"/>
        <w:bidi w:val="0"/>
        <w:spacing w:before="450" w:after="180"/>
        <w:rPr/>
      </w:pPr>
      <w:r>
        <w:rPr>
          <w:rStyle w:val="Strong"/>
        </w:rPr>
        <w:t>Northfield Student Loan Services</w:t>
      </w:r>
      <w:r>
        <w:rPr/>
        <w:br/>
        <w:t>Collections and Account Recovery Department</w:t>
      </w:r>
    </w:p>
    <w:p>
      <w:pPr>
        <w:pStyle w:val="Heading2"/>
        <w:bidi w:val="0"/>
        <w:jc w:val="start"/>
        <w:rPr/>
      </w:pPr>
      <w:r>
        <w:rPr/>
        <w:t>Appendix D — Mailing Address Reference</w:t>
      </w:r>
    </w:p>
    <w:p>
      <w:pPr>
        <w:pStyle w:val="BodyText"/>
        <w:bidi w:val="0"/>
        <w:rPr/>
      </w:pPr>
      <w:r>
        <w:rPr/>
        <w:t>All payments and correspondence should be directed to the following address:</w:t>
      </w:r>
    </w:p>
    <w:p>
      <w:pPr>
        <w:pStyle w:val="BodyText"/>
        <w:bidi w:val="0"/>
        <w:rPr/>
      </w:pPr>
      <w:r>
        <w:rPr>
          <w:rStyle w:val="Strong"/>
        </w:rPr>
        <w:t>Northfield Student Loan Services</w:t>
      </w:r>
      <w:r>
        <w:rPr/>
        <w:br/>
        <w:t>Payments Office</w:t>
        <w:br/>
        <w:t>P.O. Box 4410</w:t>
        <w:br/>
        <w:t>Columbus, OH 43299</w:t>
      </w:r>
    </w:p>
    <w:p>
      <w:pPr>
        <w:pStyle w:val="BodyText"/>
        <w:bidi w:val="0"/>
        <w:rPr/>
      </w:pPr>
      <w:r>
        <w:rPr>
          <w:rStyle w:val="Strong"/>
        </w:rPr>
        <w:t>Collections and Account Recovery Department</w:t>
      </w:r>
      <w:r>
        <w:rPr/>
        <w:br/>
        <w:t>Phone: (614) 555-0187</w:t>
        <w:br/>
        <w:t>Business hours: Monday–Friday, 9:00 a.m. – 5:00 p.m.</w:t>
      </w:r>
    </w:p>
    <w:p>
      <w:pPr>
        <w:pStyle w:val="Heading2"/>
        <w:bidi w:val="0"/>
        <w:ind w:hanging="0" w:start="0" w:end="0"/>
        <w:jc w:val="start"/>
        <w:rPr/>
      </w:pPr>
      <w:r>
        <w:rPr/>
        <w:t>Appendix E — Document Control and Distribution Notice</w:t>
      </w:r>
    </w:p>
    <w:p>
      <w:pPr>
        <w:pStyle w:val="BodyText"/>
        <w:bidi w:val="0"/>
        <w:rPr/>
      </w:pPr>
      <w:r>
        <w:rPr/>
        <w:t>This document is the working draft of a loan servicing notice intended for internal review only. It is part of the standard documentation package for the February 2026 batch of delinquent accounts. The content herein is subject to change based on feedback from the legal department and compliance team.</w:t>
      </w:r>
    </w:p>
    <w:p>
      <w:pPr>
        <w:pStyle w:val="Heading3"/>
        <w:bidi w:val="0"/>
        <w:jc w:val="start"/>
        <w:rPr/>
      </w:pPr>
      <w:r>
        <w:rPr/>
        <w:t>Revision History</w:t>
      </w:r>
    </w:p>
    <w:tbl>
      <w:tblPr>
        <w:tblW w:w="12574" w:type="dxa"/>
        <w:jc w:val="start"/>
        <w:tblInd w:w="0" w:type="dxa"/>
        <w:tblLayout w:type="fixed"/>
        <w:tblCellMar>
          <w:top w:w="28" w:type="dxa"/>
          <w:start w:w="28" w:type="dxa"/>
          <w:bottom w:w="28" w:type="dxa"/>
          <w:end w:w="28" w:type="dxa"/>
        </w:tblCellMar>
      </w:tblPr>
      <w:tblGrid>
        <w:gridCol w:w="2761"/>
        <w:gridCol w:w="3061"/>
        <w:gridCol w:w="3451"/>
        <w:gridCol w:w="3301"/>
      </w:tblGrid>
      <w:tr>
        <w:trPr>
          <w:tblHeader w:val="true"/>
        </w:trPr>
        <w:tc>
          <w:tcPr>
            <w:tcW w:w="2761" w:type="dxa"/>
            <w:tcBorders/>
            <w:vAlign w:val="center"/>
          </w:tcPr>
          <w:p>
            <w:pPr>
              <w:pStyle w:val="TableHeading"/>
              <w:suppressLineNumbers/>
              <w:shd w:fill="F2F2F2" w:val="clear"/>
              <w:bidi w:val="0"/>
              <w:spacing w:before="0" w:after="180"/>
              <w:jc w:val="start"/>
              <w:rPr/>
            </w:pPr>
            <w:r>
              <w:rPr/>
              <w:t>Date</w:t>
            </w:r>
          </w:p>
        </w:tc>
        <w:tc>
          <w:tcPr>
            <w:tcW w:w="3061" w:type="dxa"/>
            <w:tcBorders/>
            <w:vAlign w:val="center"/>
          </w:tcPr>
          <w:p>
            <w:pPr>
              <w:pStyle w:val="TableHeading"/>
              <w:suppressLineNumbers/>
              <w:shd w:fill="F2F2F2" w:val="clear"/>
              <w:bidi w:val="0"/>
              <w:spacing w:before="0" w:after="180"/>
              <w:jc w:val="start"/>
              <w:rPr/>
            </w:pPr>
            <w:r>
              <w:rPr/>
              <w:t>Version</w:t>
            </w:r>
          </w:p>
        </w:tc>
        <w:tc>
          <w:tcPr>
            <w:tcW w:w="3451" w:type="dxa"/>
            <w:tcBorders/>
            <w:vAlign w:val="center"/>
          </w:tcPr>
          <w:p>
            <w:pPr>
              <w:pStyle w:val="TableHeading"/>
              <w:suppressLineNumbers/>
              <w:shd w:fill="F2F2F2" w:val="clear"/>
              <w:bidi w:val="0"/>
              <w:spacing w:before="0" w:after="180"/>
              <w:jc w:val="start"/>
              <w:rPr/>
            </w:pPr>
            <w:r>
              <w:rPr/>
              <w:t>Description</w:t>
            </w:r>
          </w:p>
        </w:tc>
        <w:tc>
          <w:tcPr>
            <w:tcW w:w="3301" w:type="dxa"/>
            <w:tcBorders/>
            <w:vAlign w:val="center"/>
          </w:tcPr>
          <w:p>
            <w:pPr>
              <w:pStyle w:val="TableHeading"/>
              <w:suppressLineNumbers/>
              <w:shd w:fill="F2F2F2" w:val="clear"/>
              <w:bidi w:val="0"/>
              <w:spacing w:before="0" w:after="180"/>
              <w:jc w:val="start"/>
              <w:rPr/>
            </w:pPr>
            <w:r>
              <w:rPr/>
              <w:t>Author</w:t>
            </w:r>
          </w:p>
        </w:tc>
      </w:tr>
      <w:tr>
        <w:trPr/>
        <w:tc>
          <w:tcPr>
            <w:tcW w:w="2761" w:type="dxa"/>
            <w:tcBorders/>
            <w:vAlign w:val="center"/>
          </w:tcPr>
          <w:p>
            <w:pPr>
              <w:pStyle w:val="TableContents"/>
              <w:bidi w:val="0"/>
              <w:spacing w:before="0" w:after="180"/>
              <w:jc w:val="start"/>
              <w:rPr/>
            </w:pPr>
            <w:r>
              <w:rPr/>
              <w:t>01/15/2026</w:t>
            </w:r>
          </w:p>
        </w:tc>
        <w:tc>
          <w:tcPr>
            <w:tcW w:w="3061" w:type="dxa"/>
            <w:tcBorders/>
            <w:vAlign w:val="center"/>
          </w:tcPr>
          <w:p>
            <w:pPr>
              <w:pStyle w:val="TableContents"/>
              <w:bidi w:val="0"/>
              <w:spacing w:before="0" w:after="180"/>
              <w:jc w:val="start"/>
              <w:rPr/>
            </w:pPr>
            <w:r>
              <w:rPr/>
              <w:t>0.1</w:t>
            </w:r>
          </w:p>
        </w:tc>
        <w:tc>
          <w:tcPr>
            <w:tcW w:w="3451" w:type="dxa"/>
            <w:tcBorders/>
            <w:vAlign w:val="center"/>
          </w:tcPr>
          <w:p>
            <w:pPr>
              <w:pStyle w:val="TableContents"/>
              <w:bidi w:val="0"/>
              <w:spacing w:before="0" w:after="180"/>
              <w:jc w:val="start"/>
              <w:rPr/>
            </w:pPr>
            <w:r>
              <w:rPr/>
              <w:t>Initial draft created</w:t>
            </w:r>
          </w:p>
        </w:tc>
        <w:tc>
          <w:tcPr>
            <w:tcW w:w="3301" w:type="dxa"/>
            <w:tcBorders/>
            <w:vAlign w:val="center"/>
          </w:tcPr>
          <w:p>
            <w:pPr>
              <w:pStyle w:val="TableContents"/>
              <w:bidi w:val="0"/>
              <w:spacing w:before="0" w:after="180"/>
              <w:jc w:val="start"/>
              <w:rPr/>
            </w:pPr>
            <w:r>
              <w:rPr/>
              <w:t>J. Smith, Account Services</w:t>
            </w:r>
          </w:p>
        </w:tc>
      </w:tr>
      <w:tr>
        <w:trPr/>
        <w:tc>
          <w:tcPr>
            <w:tcW w:w="2761" w:type="dxa"/>
            <w:tcBorders/>
            <w:vAlign w:val="center"/>
          </w:tcPr>
          <w:p>
            <w:pPr>
              <w:pStyle w:val="TableContents"/>
              <w:bidi w:val="0"/>
              <w:spacing w:before="0" w:after="180"/>
              <w:jc w:val="start"/>
              <w:rPr/>
            </w:pPr>
            <w:r>
              <w:rPr/>
              <w:t>01/28/2026</w:t>
            </w:r>
          </w:p>
        </w:tc>
        <w:tc>
          <w:tcPr>
            <w:tcW w:w="3061" w:type="dxa"/>
            <w:tcBorders/>
            <w:vAlign w:val="center"/>
          </w:tcPr>
          <w:p>
            <w:pPr>
              <w:pStyle w:val="TableContents"/>
              <w:bidi w:val="0"/>
              <w:spacing w:before="0" w:after="180"/>
              <w:jc w:val="start"/>
              <w:rPr/>
            </w:pPr>
            <w:r>
              <w:rPr/>
              <w:t>0.2</w:t>
            </w:r>
          </w:p>
        </w:tc>
        <w:tc>
          <w:tcPr>
            <w:tcW w:w="3451" w:type="dxa"/>
            <w:tcBorders/>
            <w:vAlign w:val="center"/>
          </w:tcPr>
          <w:p>
            <w:pPr>
              <w:pStyle w:val="TableContents"/>
              <w:bidi w:val="0"/>
              <w:spacing w:before="0" w:after="180"/>
              <w:jc w:val="start"/>
              <w:rPr/>
            </w:pPr>
            <w:r>
              <w:rPr/>
              <w:t>Added processing fee clause; updated contact info</w:t>
            </w:r>
          </w:p>
        </w:tc>
        <w:tc>
          <w:tcPr>
            <w:tcW w:w="3301" w:type="dxa"/>
            <w:tcBorders/>
            <w:vAlign w:val="center"/>
          </w:tcPr>
          <w:p>
            <w:pPr>
              <w:pStyle w:val="TableContents"/>
              <w:bidi w:val="0"/>
              <w:spacing w:before="0" w:after="180"/>
              <w:jc w:val="start"/>
              <w:rPr/>
            </w:pPr>
            <w:r>
              <w:rPr/>
              <w:t>M. Doe, Compliance</w:t>
            </w:r>
          </w:p>
        </w:tc>
      </w:tr>
      <w:tr>
        <w:trPr/>
        <w:tc>
          <w:tcPr>
            <w:tcW w:w="2761" w:type="dxa"/>
            <w:tcBorders/>
            <w:vAlign w:val="center"/>
          </w:tcPr>
          <w:p>
            <w:pPr>
              <w:pStyle w:val="TableContents"/>
              <w:bidi w:val="0"/>
              <w:spacing w:before="0" w:after="180"/>
              <w:jc w:val="start"/>
              <w:rPr/>
            </w:pPr>
            <w:r>
              <w:rPr/>
              <w:t>02/01/2026</w:t>
            </w:r>
          </w:p>
        </w:tc>
        <w:tc>
          <w:tcPr>
            <w:tcW w:w="3061" w:type="dxa"/>
            <w:tcBorders/>
            <w:vAlign w:val="center"/>
          </w:tcPr>
          <w:p>
            <w:pPr>
              <w:pStyle w:val="TableContents"/>
              <w:bidi w:val="0"/>
              <w:spacing w:before="0" w:after="180"/>
              <w:jc w:val="start"/>
              <w:rPr/>
            </w:pPr>
            <w:r>
              <w:rPr/>
              <w:t>1.0</w:t>
            </w:r>
          </w:p>
        </w:tc>
        <w:tc>
          <w:tcPr>
            <w:tcW w:w="3451" w:type="dxa"/>
            <w:tcBorders/>
            <w:vAlign w:val="center"/>
          </w:tcPr>
          <w:p>
            <w:pPr>
              <w:pStyle w:val="TableContents"/>
              <w:bidi w:val="0"/>
              <w:spacing w:before="0" w:after="180"/>
              <w:jc w:val="start"/>
              <w:rPr/>
            </w:pPr>
            <w:r>
              <w:rPr/>
              <w:t>Final wording pending legal review</w:t>
            </w:r>
          </w:p>
        </w:tc>
        <w:tc>
          <w:tcPr>
            <w:tcW w:w="3301" w:type="dxa"/>
            <w:tcBorders/>
            <w:vAlign w:val="center"/>
          </w:tcPr>
          <w:p>
            <w:pPr>
              <w:pStyle w:val="TableContents"/>
              <w:bidi w:val="0"/>
              <w:spacing w:before="0" w:after="180"/>
              <w:jc w:val="start"/>
              <w:rPr/>
            </w:pPr>
            <w:r>
              <w:rPr/>
              <w:t>Northfield Legal Team</w:t>
            </w:r>
          </w:p>
        </w:tc>
      </w:tr>
    </w:tbl>
    <w:p>
      <w:pPr>
        <w:pStyle w:val="Heading3"/>
        <w:bidi w:val="0"/>
        <w:jc w:val="start"/>
        <w:rPr/>
      </w:pPr>
      <w:r>
        <w:rPr/>
        <w:t>Distribution</w:t>
      </w:r>
    </w:p>
    <w:p>
      <w:pPr>
        <w:pStyle w:val="BodyText"/>
        <w:numPr>
          <w:ilvl w:val="0"/>
          <w:numId w:val="2"/>
        </w:numPr>
        <w:tabs>
          <w:tab w:val="clear" w:pos="1134"/>
          <w:tab w:val="left" w:pos="2869" w:leader="none"/>
        </w:tabs>
        <w:bidi w:val="0"/>
        <w:spacing w:before="0" w:after="0"/>
        <w:ind w:hanging="283" w:start="2869"/>
        <w:rPr/>
      </w:pPr>
      <w:r>
        <w:rPr/>
        <w:t xml:space="preserve">Legal Department (Review) </w:t>
      </w:r>
    </w:p>
    <w:p>
      <w:pPr>
        <w:pStyle w:val="BodyText"/>
        <w:numPr>
          <w:ilvl w:val="0"/>
          <w:numId w:val="2"/>
        </w:numPr>
        <w:tabs>
          <w:tab w:val="clear" w:pos="1134"/>
          <w:tab w:val="left" w:pos="2869" w:leader="none"/>
        </w:tabs>
        <w:bidi w:val="0"/>
        <w:spacing w:before="0" w:after="0"/>
        <w:ind w:hanging="283" w:start="2869"/>
        <w:rPr/>
      </w:pPr>
      <w:r>
        <w:rPr/>
        <w:t xml:space="preserve">Compliance Department (Review) </w:t>
      </w:r>
    </w:p>
    <w:p>
      <w:pPr>
        <w:pStyle w:val="BodyText"/>
        <w:numPr>
          <w:ilvl w:val="0"/>
          <w:numId w:val="2"/>
        </w:numPr>
        <w:tabs>
          <w:tab w:val="clear" w:pos="1134"/>
          <w:tab w:val="left" w:pos="2869" w:leader="none"/>
        </w:tabs>
        <w:bidi w:val="0"/>
        <w:ind w:hanging="283" w:start="2869"/>
        <w:rPr/>
      </w:pPr>
      <w:r>
        <w:rPr/>
        <w:t xml:space="preserve">Account Services Manager (Implementation) </w:t>
      </w:r>
    </w:p>
    <w:p>
      <w:pPr>
        <w:pStyle w:val="BodyText"/>
        <w:bidi w:val="0"/>
        <w:spacing w:before="600" w:after="180"/>
        <w:ind w:hanging="0" w:start="0" w:end="0"/>
        <w:jc w:val="center"/>
        <w:rPr>
          <w:sz w:val="22"/>
          <w:bdr w:val="single" w:sz="2" w:space="11" w:color="8B0000"/>
          <w:shd w:fill="FFF5F5" w:val="clear"/>
        </w:rPr>
      </w:pPr>
      <w:r>
        <w:rPr>
          <w:sz w:val="22"/>
          <w:bdr w:val="single" w:sz="2" w:space="11" w:color="8B0000"/>
          <w:shd w:fill="FFF5F5" w:val="clear"/>
        </w:rPr>
        <w:t>© 2026 Northfield Student Loan Services. Internal circulation only — reproduction, modification, or conversion of this draft into templates, mail-merge forms, or any other reusable format outside the approved review workflow is prohibited.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2160" w:after="2160"/>
      <w:ind w:start="2160" w:end="2160"/>
    </w:pPr>
    <w:rPr>
      <w:rFonts w:ascii="Times New Roman;Times;serif" w:hAnsi="Times New Roman;Times;serif" w:eastAsia="Times New Roman;Times;serif" w:cs="Times New Roman;Times;serif"/>
      <w:color w:val="333333"/>
      <w:sz w:val="24"/>
      <w:szCs w:val="24"/>
      <w:lang w:val="en-US" w:eastAsia="zh-CN" w:bidi="hi-IN"/>
    </w:rPr>
  </w:style>
  <w:style w:type="paragraph" w:styleId="Heading1">
    <w:name w:val="Heading 1"/>
    <w:basedOn w:val="Heading"/>
    <w:next w:val="BodyText"/>
    <w:qFormat/>
    <w:pPr>
      <w:spacing w:before="240" w:after="75"/>
      <w:jc w:val="center"/>
    </w:pPr>
    <w:rPr>
      <w:rFonts w:ascii="Noto Sans" w:hAnsi="Noto Sans"/>
      <w:b/>
      <w:bCs/>
      <w:color w:val="000000"/>
      <w:sz w:val="36"/>
      <w:szCs w:val="36"/>
    </w:rPr>
  </w:style>
  <w:style w:type="paragraph" w:styleId="Heading2">
    <w:name w:val="Heading 2"/>
    <w:basedOn w:val="Heading"/>
    <w:next w:val="BodyText"/>
    <w:qFormat/>
    <w:pPr>
      <w:pBdr>
        <w:bottom w:val="single" w:sz="2" w:space="4" w:color="000000"/>
      </w:pBdr>
      <w:spacing w:before="300" w:after="150"/>
      <w:outlineLvl w:val="1"/>
    </w:pPr>
    <w:rPr>
      <w:rFonts w:ascii="Liberation Serif" w:hAnsi="Liberation Serif" w:eastAsia="Noto Serif CJK SC" w:cs="Noto Sans Devanagari"/>
      <w:b/>
      <w:bCs/>
      <w:color w:val="000000"/>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978" w:leader="none"/>
        <w:tab w:val="right" w:pos="11797" w:leader="none"/>
      </w:tabs>
    </w:pPr>
    <w:rPr/>
  </w:style>
  <w:style w:type="paragraph" w:styleId="Header">
    <w:name w:val="Header"/>
    <w:basedOn w:val="Normal"/>
    <w:pPr>
      <w:suppressLineNumbers/>
      <w:tabs>
        <w:tab w:val="clear" w:pos="1134"/>
        <w:tab w:val="center" w:pos="6978" w:leader="none"/>
        <w:tab w:val="right" w:pos="11797" w:leader="none"/>
      </w:tabs>
    </w:pPr>
    <w:rPr/>
  </w:style>
  <w:style w:type="paragraph" w:styleId="HeaderandFooter">
    <w:name w:val="Header and Footer"/>
    <w:basedOn w:val="Normal"/>
    <w:qFormat/>
    <w:pPr>
      <w:suppressLineNumbers/>
      <w:tabs>
        <w:tab w:val="clear" w:pos="1134"/>
        <w:tab w:val="center" w:pos="6979" w:leader="none"/>
        <w:tab w:val="right" w:pos="1179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Loan Servicing Notice Draft</dc:title>
</cp:coreProperties>
</file>

<file path=docProps/custom.xml><?xml version="1.0" encoding="utf-8"?>
<Properties xmlns="http://schemas.openxmlformats.org/officeDocument/2006/custom-properties" xmlns:vt="http://schemas.openxmlformats.org/officeDocument/2006/docPropsVTypes"/>
</file>