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Quarterly Compliance Review</w:t>
      </w:r>
    </w:p>
    <w:tbl>
      <w:tblPr>
        <w:tblW w:w="5330" w:type="dxa"/>
        <w:jc w:val="start"/>
        <w:tblInd w:w="0" w:type="dxa"/>
        <w:tblLayout w:type="fixed"/>
        <w:tblCellMar>
          <w:top w:w="28" w:type="dxa"/>
          <w:start w:w="28" w:type="dxa"/>
          <w:bottom w:w="28" w:type="dxa"/>
          <w:end w:w="28" w:type="dxa"/>
        </w:tblCellMar>
      </w:tblPr>
      <w:tblGrid>
        <w:gridCol w:w="1403"/>
        <w:gridCol w:w="3927"/>
      </w:tblGrid>
      <w:tr>
        <w:trPr/>
        <w:tc>
          <w:tcPr>
            <w:tcW w:w="1403" w:type="dxa"/>
            <w:tcBorders/>
            <w:vAlign w:val="center"/>
          </w:tcPr>
          <w:p>
            <w:pPr>
              <w:pStyle w:val="TableContents"/>
              <w:bidi w:val="0"/>
              <w:spacing w:before="0" w:after="283"/>
              <w:jc w:val="start"/>
              <w:rPr/>
            </w:pPr>
            <w:r>
              <w:rPr/>
              <w:t>Document Title</w:t>
            </w:r>
          </w:p>
        </w:tc>
        <w:tc>
          <w:tcPr>
            <w:tcW w:w="3927" w:type="dxa"/>
            <w:tcBorders/>
            <w:vAlign w:val="center"/>
          </w:tcPr>
          <w:p>
            <w:pPr>
              <w:pStyle w:val="TableContents"/>
              <w:bidi w:val="0"/>
              <w:spacing w:before="0" w:after="283"/>
              <w:jc w:val="start"/>
              <w:rPr/>
            </w:pPr>
            <w:r>
              <w:rPr/>
              <w:t>Quarterly Compliance Review</w:t>
            </w:r>
          </w:p>
        </w:tc>
      </w:tr>
      <w:tr>
        <w:trPr/>
        <w:tc>
          <w:tcPr>
            <w:tcW w:w="1403" w:type="dxa"/>
            <w:tcBorders/>
            <w:vAlign w:val="center"/>
          </w:tcPr>
          <w:p>
            <w:pPr>
              <w:pStyle w:val="TableContents"/>
              <w:bidi w:val="0"/>
              <w:spacing w:before="0" w:after="283"/>
              <w:jc w:val="start"/>
              <w:rPr/>
            </w:pPr>
            <w:r>
              <w:rPr/>
              <w:t>Review Period</w:t>
            </w:r>
          </w:p>
        </w:tc>
        <w:tc>
          <w:tcPr>
            <w:tcW w:w="3927" w:type="dxa"/>
            <w:tcBorders/>
            <w:vAlign w:val="center"/>
          </w:tcPr>
          <w:p>
            <w:pPr>
              <w:pStyle w:val="TableContents"/>
              <w:bidi w:val="0"/>
              <w:spacing w:before="0" w:after="283"/>
              <w:jc w:val="start"/>
              <w:rPr/>
            </w:pPr>
            <w:r>
              <w:rPr/>
              <w:t>Q3 2024 (July 1, 2024 – September 30, 2024)</w:t>
            </w:r>
          </w:p>
        </w:tc>
      </w:tr>
      <w:tr>
        <w:trPr/>
        <w:tc>
          <w:tcPr>
            <w:tcW w:w="1403" w:type="dxa"/>
            <w:tcBorders/>
            <w:vAlign w:val="center"/>
          </w:tcPr>
          <w:p>
            <w:pPr>
              <w:pStyle w:val="TableContents"/>
              <w:bidi w:val="0"/>
              <w:spacing w:before="0" w:after="283"/>
              <w:jc w:val="start"/>
              <w:rPr/>
            </w:pPr>
            <w:r>
              <w:rPr/>
              <w:t>Status</w:t>
            </w:r>
          </w:p>
        </w:tc>
        <w:tc>
          <w:tcPr>
            <w:tcW w:w="3927" w:type="dxa"/>
            <w:tcBorders/>
            <w:vAlign w:val="center"/>
          </w:tcPr>
          <w:p>
            <w:pPr>
              <w:pStyle w:val="TableContents"/>
              <w:bidi w:val="0"/>
              <w:spacing w:before="0" w:after="283"/>
              <w:jc w:val="start"/>
              <w:rPr/>
            </w:pPr>
            <w:r>
              <w:rPr/>
              <w:t>Current-quarter interim review</w:t>
            </w:r>
          </w:p>
        </w:tc>
      </w:tr>
      <w:tr>
        <w:trPr/>
        <w:tc>
          <w:tcPr>
            <w:tcW w:w="1403" w:type="dxa"/>
            <w:tcBorders/>
            <w:vAlign w:val="center"/>
          </w:tcPr>
          <w:p>
            <w:pPr>
              <w:pStyle w:val="TableContents"/>
              <w:bidi w:val="0"/>
              <w:spacing w:before="0" w:after="283"/>
              <w:jc w:val="start"/>
              <w:rPr/>
            </w:pPr>
            <w:r>
              <w:rPr/>
              <w:t>Prepared by</w:t>
            </w:r>
          </w:p>
        </w:tc>
        <w:tc>
          <w:tcPr>
            <w:tcW w:w="3927" w:type="dxa"/>
            <w:tcBorders/>
            <w:vAlign w:val="center"/>
          </w:tcPr>
          <w:p>
            <w:pPr>
              <w:pStyle w:val="TableContents"/>
              <w:bidi w:val="0"/>
              <w:spacing w:before="0" w:after="283"/>
              <w:jc w:val="start"/>
              <w:rPr/>
            </w:pPr>
            <w:r>
              <w:rPr/>
              <w:t>Operations Team</w:t>
            </w:r>
          </w:p>
        </w:tc>
      </w:tr>
      <w:tr>
        <w:trPr/>
        <w:tc>
          <w:tcPr>
            <w:tcW w:w="1403" w:type="dxa"/>
            <w:tcBorders/>
            <w:vAlign w:val="center"/>
          </w:tcPr>
          <w:p>
            <w:pPr>
              <w:pStyle w:val="TableContents"/>
              <w:bidi w:val="0"/>
              <w:spacing w:before="0" w:after="283"/>
              <w:jc w:val="start"/>
              <w:rPr/>
            </w:pPr>
            <w:r>
              <w:rPr/>
              <w:t>Date</w:t>
            </w:r>
          </w:p>
        </w:tc>
        <w:tc>
          <w:tcPr>
            <w:tcW w:w="3927" w:type="dxa"/>
            <w:tcBorders/>
            <w:vAlign w:val="center"/>
          </w:tcPr>
          <w:p>
            <w:pPr>
              <w:pStyle w:val="TableContents"/>
              <w:bidi w:val="0"/>
              <w:spacing w:before="0" w:after="283"/>
              <w:jc w:val="start"/>
              <w:rPr/>
            </w:pPr>
            <w:r>
              <w:rPr/>
              <w:t>2024-09-01</w:t>
            </w:r>
          </w:p>
        </w:tc>
      </w:tr>
      <w:tr>
        <w:trPr/>
        <w:tc>
          <w:tcPr>
            <w:tcW w:w="1403" w:type="dxa"/>
            <w:tcBorders/>
            <w:vAlign w:val="center"/>
          </w:tcPr>
          <w:p>
            <w:pPr>
              <w:pStyle w:val="TableContents"/>
              <w:bidi w:val="0"/>
              <w:spacing w:before="0" w:after="283"/>
              <w:jc w:val="start"/>
              <w:rPr/>
            </w:pPr>
            <w:r>
              <w:rPr/>
              <w:t>Classification</w:t>
            </w:r>
          </w:p>
        </w:tc>
        <w:tc>
          <w:tcPr>
            <w:tcW w:w="3927" w:type="dxa"/>
            <w:tcBorders/>
            <w:vAlign w:val="center"/>
          </w:tcPr>
          <w:p>
            <w:pPr>
              <w:pStyle w:val="TableContents"/>
              <w:bidi w:val="0"/>
              <w:spacing w:before="0" w:after="283"/>
              <w:jc w:val="start"/>
              <w:rPr/>
            </w:pPr>
            <w:r>
              <w:rPr/>
              <w:t>Internal – Operations Use</w:t>
            </w:r>
          </w:p>
        </w:tc>
      </w:tr>
      <w:tr>
        <w:trPr/>
        <w:tc>
          <w:tcPr>
            <w:tcW w:w="1403" w:type="dxa"/>
            <w:tcBorders/>
            <w:vAlign w:val="center"/>
          </w:tcPr>
          <w:p>
            <w:pPr>
              <w:pStyle w:val="TableContents"/>
              <w:bidi w:val="0"/>
              <w:spacing w:before="0" w:after="283"/>
              <w:jc w:val="start"/>
              <w:rPr/>
            </w:pPr>
            <w:r>
              <w:rPr/>
              <w:t>Distribution</w:t>
            </w:r>
          </w:p>
        </w:tc>
        <w:tc>
          <w:tcPr>
            <w:tcW w:w="3927" w:type="dxa"/>
            <w:tcBorders/>
            <w:vAlign w:val="center"/>
          </w:tcPr>
          <w:p>
            <w:pPr>
              <w:pStyle w:val="TableContents"/>
              <w:bidi w:val="0"/>
              <w:spacing w:before="0" w:after="283"/>
              <w:jc w:val="start"/>
              <w:rPr/>
            </w:pPr>
            <w:r>
              <w:rPr/>
              <w:t>Operations Team, Operations Manager, Compliance Lead, and relevant department leads</w:t>
            </w:r>
          </w:p>
        </w:tc>
      </w:tr>
    </w:tbl>
    <w:p>
      <w:pPr>
        <w:pStyle w:val="Heading2"/>
        <w:bidi w:val="0"/>
        <w:jc w:val="start"/>
        <w:rPr/>
      </w:pPr>
      <w:r>
        <w:rPr/>
        <w:t>Executive Summary</w:t>
      </w:r>
    </w:p>
    <w:p>
      <w:pPr>
        <w:pStyle w:val="BodyText"/>
        <w:bidi w:val="0"/>
        <w:jc w:val="start"/>
        <w:rPr/>
      </w:pPr>
      <w:r>
        <w:rPr/>
        <w:t>This document summarizes compliance activities for the current quarter, including audit follow-ups, policy acknowledgments, and remediation tracking. It is intended for internal review by the operations team.</w:t>
      </w:r>
    </w:p>
    <w:p>
      <w:pPr>
        <w:pStyle w:val="BodyText"/>
        <w:bidi w:val="0"/>
        <w:jc w:val="start"/>
        <w:rPr/>
      </w:pPr>
      <w:r>
        <w:rPr/>
        <w:t>During the review period, the operations team maintained a steady focus on closing audit follow-ups, confirming policy acknowledgments, and monitoring remediation items. Overall, the compliance posture remains stable, with no new high-risk exceptions reported and no material deviations from established operational controls.</w:t>
      </w:r>
    </w:p>
    <w:p>
      <w:pPr>
        <w:pStyle w:val="Heading2"/>
        <w:bidi w:val="0"/>
        <w:jc w:val="start"/>
        <w:rPr/>
      </w:pPr>
      <w:r>
        <w:rPr/>
        <w:t>Audit Follow-ups</w:t>
      </w:r>
    </w:p>
    <w:p>
      <w:pPr>
        <w:pStyle w:val="BodyText"/>
        <w:bidi w:val="0"/>
        <w:jc w:val="start"/>
        <w:rPr/>
      </w:pPr>
      <w:r>
        <w:rPr/>
        <w:t>All open audit findings from the previous cycle have been assigned owners and target dates. Two findings remain open and are being tracked in the remediation log.</w:t>
      </w:r>
    </w:p>
    <w:p>
      <w:pPr>
        <w:pStyle w:val="BodyText"/>
        <w:bidi w:val="0"/>
        <w:jc w:val="start"/>
        <w:rPr/>
      </w:pPr>
      <w:r>
        <w:rPr/>
        <w:t>The two open findings relate to documentation completeness and periodic access review. Both have named owners, agreed target dates, and defined evidence requirements. Weekly status updates are recorded in the remediation log, and any delay that could affect the target date will be reported to the operations manager.</w:t>
      </w:r>
    </w:p>
    <w:tbl>
      <w:tblPr>
        <w:tblW w:w="5330" w:type="dxa"/>
        <w:jc w:val="start"/>
        <w:tblInd w:w="0" w:type="dxa"/>
        <w:tblLayout w:type="fixed"/>
        <w:tblCellMar>
          <w:top w:w="28" w:type="dxa"/>
          <w:start w:w="28" w:type="dxa"/>
          <w:bottom w:w="28" w:type="dxa"/>
          <w:end w:w="28" w:type="dxa"/>
        </w:tblCellMar>
      </w:tblPr>
      <w:tblGrid>
        <w:gridCol w:w="796"/>
        <w:gridCol w:w="1516"/>
        <w:gridCol w:w="1321"/>
        <w:gridCol w:w="736"/>
        <w:gridCol w:w="961"/>
      </w:tblGrid>
      <w:tr>
        <w:trPr/>
        <w:tc>
          <w:tcPr>
            <w:tcW w:w="796" w:type="dxa"/>
            <w:tcBorders/>
            <w:vAlign w:val="center"/>
          </w:tcPr>
          <w:p>
            <w:pPr>
              <w:pStyle w:val="TableHeading"/>
              <w:suppressLineNumbers/>
              <w:shd w:fill="F2F2F2" w:val="clear"/>
              <w:bidi w:val="0"/>
              <w:spacing w:before="0" w:after="283"/>
              <w:jc w:val="start"/>
              <w:rPr/>
            </w:pPr>
            <w:r>
              <w:rPr/>
              <w:t>Open Item</w:t>
            </w:r>
          </w:p>
        </w:tc>
        <w:tc>
          <w:tcPr>
            <w:tcW w:w="1516" w:type="dxa"/>
            <w:tcBorders/>
            <w:vAlign w:val="center"/>
          </w:tcPr>
          <w:p>
            <w:pPr>
              <w:pStyle w:val="TableHeading"/>
              <w:suppressLineNumbers/>
              <w:shd w:fill="F2F2F2" w:val="clear"/>
              <w:bidi w:val="0"/>
              <w:spacing w:before="0" w:after="283"/>
              <w:jc w:val="start"/>
              <w:rPr/>
            </w:pPr>
            <w:r>
              <w:rPr/>
              <w:t>Area</w:t>
            </w:r>
          </w:p>
        </w:tc>
        <w:tc>
          <w:tcPr>
            <w:tcW w:w="1321" w:type="dxa"/>
            <w:tcBorders/>
            <w:vAlign w:val="center"/>
          </w:tcPr>
          <w:p>
            <w:pPr>
              <w:pStyle w:val="TableHeading"/>
              <w:suppressLineNumbers/>
              <w:shd w:fill="F2F2F2" w:val="clear"/>
              <w:bidi w:val="0"/>
              <w:spacing w:before="0" w:after="283"/>
              <w:jc w:val="start"/>
              <w:rPr/>
            </w:pPr>
            <w:r>
              <w:rPr/>
              <w:t>Owner</w:t>
            </w:r>
          </w:p>
        </w:tc>
        <w:tc>
          <w:tcPr>
            <w:tcW w:w="736" w:type="dxa"/>
            <w:tcBorders/>
            <w:vAlign w:val="center"/>
          </w:tcPr>
          <w:p>
            <w:pPr>
              <w:pStyle w:val="TableHeading"/>
              <w:suppressLineNumbers/>
              <w:shd w:fill="F2F2F2" w:val="clear"/>
              <w:bidi w:val="0"/>
              <w:spacing w:before="0" w:after="283"/>
              <w:jc w:val="start"/>
              <w:rPr/>
            </w:pPr>
            <w:r>
              <w:rPr/>
              <w:t>Target Date</w:t>
            </w:r>
          </w:p>
        </w:tc>
        <w:tc>
          <w:tcPr>
            <w:tcW w:w="961" w:type="dxa"/>
            <w:tcBorders/>
            <w:vAlign w:val="center"/>
          </w:tcPr>
          <w:p>
            <w:pPr>
              <w:pStyle w:val="TableHeading"/>
              <w:suppressLineNumbers/>
              <w:shd w:fill="F2F2F2" w:val="clear"/>
              <w:bidi w:val="0"/>
              <w:spacing w:before="0" w:after="283"/>
              <w:jc w:val="start"/>
              <w:rPr/>
            </w:pPr>
            <w:r>
              <w:rPr/>
              <w:t>Status</w:t>
            </w:r>
          </w:p>
        </w:tc>
      </w:tr>
      <w:tr>
        <w:trPr/>
        <w:tc>
          <w:tcPr>
            <w:tcW w:w="796" w:type="dxa"/>
            <w:tcBorders/>
            <w:vAlign w:val="center"/>
          </w:tcPr>
          <w:p>
            <w:pPr>
              <w:pStyle w:val="TableContents"/>
              <w:bidi w:val="0"/>
              <w:spacing w:before="0" w:after="283"/>
              <w:jc w:val="start"/>
              <w:rPr/>
            </w:pPr>
            <w:r>
              <w:rPr/>
              <w:t>Open Finding 1</w:t>
            </w:r>
          </w:p>
        </w:tc>
        <w:tc>
          <w:tcPr>
            <w:tcW w:w="1516" w:type="dxa"/>
            <w:tcBorders/>
            <w:vAlign w:val="center"/>
          </w:tcPr>
          <w:p>
            <w:pPr>
              <w:pStyle w:val="TableContents"/>
              <w:bidi w:val="0"/>
              <w:spacing w:before="0" w:after="283"/>
              <w:jc w:val="start"/>
              <w:rPr/>
            </w:pPr>
            <w:r>
              <w:rPr/>
              <w:t>Documentation completeness for control evidence</w:t>
            </w:r>
          </w:p>
        </w:tc>
        <w:tc>
          <w:tcPr>
            <w:tcW w:w="1321" w:type="dxa"/>
            <w:tcBorders/>
            <w:vAlign w:val="center"/>
          </w:tcPr>
          <w:p>
            <w:pPr>
              <w:pStyle w:val="TableContents"/>
              <w:bidi w:val="0"/>
              <w:spacing w:before="0" w:after="283"/>
              <w:jc w:val="start"/>
              <w:rPr/>
            </w:pPr>
            <w:r>
              <w:rPr/>
              <w:t>Operations Lead</w:t>
            </w:r>
          </w:p>
        </w:tc>
        <w:tc>
          <w:tcPr>
            <w:tcW w:w="736" w:type="dxa"/>
            <w:tcBorders/>
            <w:vAlign w:val="center"/>
          </w:tcPr>
          <w:p>
            <w:pPr>
              <w:pStyle w:val="TableContents"/>
              <w:bidi w:val="0"/>
              <w:spacing w:before="0" w:after="283"/>
              <w:jc w:val="start"/>
              <w:rPr/>
            </w:pPr>
            <w:r>
              <w:rPr/>
              <w:t>2024-09-15</w:t>
            </w:r>
          </w:p>
        </w:tc>
        <w:tc>
          <w:tcPr>
            <w:tcW w:w="961" w:type="dxa"/>
            <w:tcBorders/>
            <w:vAlign w:val="center"/>
          </w:tcPr>
          <w:p>
            <w:pPr>
              <w:pStyle w:val="TableContents"/>
              <w:bidi w:val="0"/>
              <w:spacing w:before="0" w:after="283"/>
              <w:jc w:val="start"/>
              <w:rPr/>
            </w:pPr>
            <w:r>
              <w:rPr/>
              <w:t>In progress</w:t>
            </w:r>
          </w:p>
        </w:tc>
      </w:tr>
      <w:tr>
        <w:trPr/>
        <w:tc>
          <w:tcPr>
            <w:tcW w:w="796" w:type="dxa"/>
            <w:tcBorders/>
            <w:vAlign w:val="center"/>
          </w:tcPr>
          <w:p>
            <w:pPr>
              <w:pStyle w:val="TableContents"/>
              <w:bidi w:val="0"/>
              <w:spacing w:before="0" w:after="283"/>
              <w:jc w:val="start"/>
              <w:rPr/>
            </w:pPr>
            <w:r>
              <w:rPr/>
              <w:t>Open Finding 2</w:t>
            </w:r>
          </w:p>
        </w:tc>
        <w:tc>
          <w:tcPr>
            <w:tcW w:w="1516" w:type="dxa"/>
            <w:tcBorders/>
            <w:vAlign w:val="center"/>
          </w:tcPr>
          <w:p>
            <w:pPr>
              <w:pStyle w:val="TableContents"/>
              <w:bidi w:val="0"/>
              <w:spacing w:before="0" w:after="283"/>
              <w:jc w:val="start"/>
              <w:rPr/>
            </w:pPr>
            <w:r>
              <w:rPr/>
              <w:t>Periodic access review</w:t>
            </w:r>
          </w:p>
        </w:tc>
        <w:tc>
          <w:tcPr>
            <w:tcW w:w="1321" w:type="dxa"/>
            <w:tcBorders/>
            <w:vAlign w:val="center"/>
          </w:tcPr>
          <w:p>
            <w:pPr>
              <w:pStyle w:val="TableContents"/>
              <w:bidi w:val="0"/>
              <w:spacing w:before="0" w:after="283"/>
              <w:jc w:val="start"/>
              <w:rPr/>
            </w:pPr>
            <w:r>
              <w:rPr/>
              <w:t>Access Management Lead</w:t>
            </w:r>
          </w:p>
        </w:tc>
        <w:tc>
          <w:tcPr>
            <w:tcW w:w="736" w:type="dxa"/>
            <w:tcBorders/>
            <w:vAlign w:val="center"/>
          </w:tcPr>
          <w:p>
            <w:pPr>
              <w:pStyle w:val="TableContents"/>
              <w:bidi w:val="0"/>
              <w:spacing w:before="0" w:after="283"/>
              <w:jc w:val="start"/>
              <w:rPr/>
            </w:pPr>
            <w:r>
              <w:rPr/>
              <w:t>2024-09-30</w:t>
            </w:r>
          </w:p>
        </w:tc>
        <w:tc>
          <w:tcPr>
            <w:tcW w:w="961" w:type="dxa"/>
            <w:tcBorders/>
            <w:vAlign w:val="center"/>
          </w:tcPr>
          <w:p>
            <w:pPr>
              <w:pStyle w:val="TableContents"/>
              <w:bidi w:val="0"/>
              <w:spacing w:before="0" w:after="283"/>
              <w:jc w:val="start"/>
              <w:rPr/>
            </w:pPr>
            <w:r>
              <w:rPr/>
              <w:t>In progress</w:t>
            </w:r>
          </w:p>
        </w:tc>
      </w:tr>
    </w:tbl>
    <w:p>
      <w:pPr>
        <w:pStyle w:val="Heading2"/>
        <w:bidi w:val="0"/>
        <w:jc w:val="start"/>
        <w:rPr/>
      </w:pPr>
      <w:r>
        <w:rPr/>
        <w:t>Policy Acknowledgments</w:t>
      </w:r>
    </w:p>
    <w:p>
      <w:pPr>
        <w:pStyle w:val="BodyText"/>
        <w:bidi w:val="0"/>
        <w:jc w:val="start"/>
        <w:rPr/>
      </w:pPr>
      <w:r>
        <w:rPr/>
        <w:t>All team members have completed the annual policy acknowledgment. One late acknowledgment is pending and has been escalated to the manager.</w:t>
      </w:r>
    </w:p>
    <w:p>
      <w:pPr>
        <w:pStyle w:val="BodyText"/>
        <w:bidi w:val="0"/>
        <w:jc w:val="start"/>
        <w:rPr/>
      </w:pPr>
      <w:r>
        <w:rPr/>
        <w:t>The pending acknowledgment is being treated as an administrative exception to the otherwise complete acknowledgment cycle. The manager is following up to confirm completion, and the item will be recorded in the compliance file once the acknowledgment is received.</w:t>
      </w:r>
    </w:p>
    <w:p>
      <w:pPr>
        <w:pStyle w:val="Heading2"/>
        <w:bidi w:val="0"/>
        <w:jc w:val="start"/>
        <w:rPr/>
      </w:pPr>
      <w:r>
        <w:rPr/>
        <w:t>Remediation Tracking</w:t>
      </w:r>
    </w:p>
    <w:p>
      <w:pPr>
        <w:pStyle w:val="BodyText"/>
        <w:bidi w:val="0"/>
        <w:jc w:val="start"/>
        <w:rPr/>
      </w:pPr>
      <w:r>
        <w:rPr/>
        <w:t>Remediation status is updated weekly. No high-risk items are currently overdue. The next checkpoint is scheduled for the end of the quarter.</w:t>
      </w:r>
    </w:p>
    <w:p>
      <w:pPr>
        <w:pStyle w:val="BodyText"/>
        <w:bidi w:val="0"/>
        <w:jc w:val="start"/>
        <w:rPr/>
      </w:pPr>
      <w:r>
        <w:rPr/>
        <w:t>Weekly tracking includes verification of completed actions, confirmation of supporting evidence, and review of items approaching their target dates. The current remediation log shows that all in-progress items are on schedule, and no additional escalation is required at this time.</w:t>
      </w:r>
    </w:p>
    <w:tbl>
      <w:tblPr>
        <w:tblW w:w="4757" w:type="dxa"/>
        <w:jc w:val="start"/>
        <w:tblInd w:w="0" w:type="dxa"/>
        <w:tblLayout w:type="fixed"/>
        <w:tblCellMar>
          <w:top w:w="28" w:type="dxa"/>
          <w:start w:w="28" w:type="dxa"/>
          <w:bottom w:w="28" w:type="dxa"/>
          <w:end w:w="28" w:type="dxa"/>
        </w:tblCellMar>
      </w:tblPr>
      <w:tblGrid>
        <w:gridCol w:w="3181"/>
        <w:gridCol w:w="1576"/>
      </w:tblGrid>
      <w:tr>
        <w:trPr/>
        <w:tc>
          <w:tcPr>
            <w:tcW w:w="3181" w:type="dxa"/>
            <w:tcBorders/>
            <w:vAlign w:val="center"/>
          </w:tcPr>
          <w:p>
            <w:pPr>
              <w:pStyle w:val="TableHeading"/>
              <w:suppressLineNumbers/>
              <w:shd w:fill="F2F2F2" w:val="clear"/>
              <w:bidi w:val="0"/>
              <w:spacing w:before="0" w:after="283"/>
              <w:jc w:val="start"/>
              <w:rPr/>
            </w:pPr>
            <w:r>
              <w:rPr/>
              <w:t>Indicator</w:t>
            </w:r>
          </w:p>
        </w:tc>
        <w:tc>
          <w:tcPr>
            <w:tcW w:w="1576" w:type="dxa"/>
            <w:tcBorders/>
            <w:vAlign w:val="center"/>
          </w:tcPr>
          <w:p>
            <w:pPr>
              <w:pStyle w:val="TableHeading"/>
              <w:suppressLineNumbers/>
              <w:shd w:fill="F2F2F2" w:val="clear"/>
              <w:bidi w:val="0"/>
              <w:spacing w:before="0" w:after="283"/>
              <w:jc w:val="start"/>
              <w:rPr/>
            </w:pPr>
            <w:r>
              <w:rPr/>
              <w:t>Current Status</w:t>
            </w:r>
          </w:p>
        </w:tc>
      </w:tr>
      <w:tr>
        <w:trPr/>
        <w:tc>
          <w:tcPr>
            <w:tcW w:w="3181" w:type="dxa"/>
            <w:tcBorders/>
            <w:vAlign w:val="center"/>
          </w:tcPr>
          <w:p>
            <w:pPr>
              <w:pStyle w:val="TableContents"/>
              <w:bidi w:val="0"/>
              <w:spacing w:before="0" w:after="283"/>
              <w:jc w:val="start"/>
              <w:rPr/>
            </w:pPr>
            <w:r>
              <w:rPr/>
              <w:t>Open audit findings</w:t>
            </w:r>
          </w:p>
        </w:tc>
        <w:tc>
          <w:tcPr>
            <w:tcW w:w="1576" w:type="dxa"/>
            <w:tcBorders/>
            <w:vAlign w:val="center"/>
          </w:tcPr>
          <w:p>
            <w:pPr>
              <w:pStyle w:val="TableContents"/>
              <w:bidi w:val="0"/>
              <w:spacing w:before="0" w:after="283"/>
              <w:jc w:val="start"/>
              <w:rPr/>
            </w:pPr>
            <w:r>
              <w:rPr/>
              <w:t>2</w:t>
            </w:r>
          </w:p>
        </w:tc>
      </w:tr>
      <w:tr>
        <w:trPr/>
        <w:tc>
          <w:tcPr>
            <w:tcW w:w="3181" w:type="dxa"/>
            <w:tcBorders/>
            <w:vAlign w:val="center"/>
          </w:tcPr>
          <w:p>
            <w:pPr>
              <w:pStyle w:val="TableContents"/>
              <w:bidi w:val="0"/>
              <w:spacing w:before="0" w:after="283"/>
              <w:jc w:val="start"/>
              <w:rPr/>
            </w:pPr>
            <w:r>
              <w:rPr/>
              <w:t>High-risk items overdue</w:t>
            </w:r>
          </w:p>
        </w:tc>
        <w:tc>
          <w:tcPr>
            <w:tcW w:w="1576" w:type="dxa"/>
            <w:tcBorders/>
            <w:vAlign w:val="center"/>
          </w:tcPr>
          <w:p>
            <w:pPr>
              <w:pStyle w:val="TableContents"/>
              <w:bidi w:val="0"/>
              <w:spacing w:before="0" w:after="283"/>
              <w:jc w:val="start"/>
              <w:rPr/>
            </w:pPr>
            <w:r>
              <w:rPr/>
              <w:t>0</w:t>
            </w:r>
          </w:p>
        </w:tc>
      </w:tr>
      <w:tr>
        <w:trPr/>
        <w:tc>
          <w:tcPr>
            <w:tcW w:w="3181" w:type="dxa"/>
            <w:tcBorders/>
            <w:vAlign w:val="center"/>
          </w:tcPr>
          <w:p>
            <w:pPr>
              <w:pStyle w:val="TableContents"/>
              <w:bidi w:val="0"/>
              <w:spacing w:before="0" w:after="283"/>
              <w:jc w:val="start"/>
              <w:rPr/>
            </w:pPr>
            <w:r>
              <w:rPr/>
              <w:t>Items on schedule</w:t>
            </w:r>
          </w:p>
        </w:tc>
        <w:tc>
          <w:tcPr>
            <w:tcW w:w="1576" w:type="dxa"/>
            <w:tcBorders/>
            <w:vAlign w:val="center"/>
          </w:tcPr>
          <w:p>
            <w:pPr>
              <w:pStyle w:val="TableContents"/>
              <w:bidi w:val="0"/>
              <w:spacing w:before="0" w:after="283"/>
              <w:jc w:val="start"/>
              <w:rPr/>
            </w:pPr>
            <w:r>
              <w:rPr/>
              <w:t>2</w:t>
            </w:r>
          </w:p>
        </w:tc>
      </w:tr>
      <w:tr>
        <w:trPr/>
        <w:tc>
          <w:tcPr>
            <w:tcW w:w="3181" w:type="dxa"/>
            <w:tcBorders/>
            <w:vAlign w:val="center"/>
          </w:tcPr>
          <w:p>
            <w:pPr>
              <w:pStyle w:val="TableContents"/>
              <w:bidi w:val="0"/>
              <w:spacing w:before="0" w:after="283"/>
              <w:jc w:val="start"/>
              <w:rPr/>
            </w:pPr>
            <w:r>
              <w:rPr/>
              <w:t>Pending policy acknowledgments</w:t>
            </w:r>
          </w:p>
        </w:tc>
        <w:tc>
          <w:tcPr>
            <w:tcW w:w="1576" w:type="dxa"/>
            <w:tcBorders/>
            <w:vAlign w:val="center"/>
          </w:tcPr>
          <w:p>
            <w:pPr>
              <w:pStyle w:val="TableContents"/>
              <w:bidi w:val="0"/>
              <w:spacing w:before="0" w:after="283"/>
              <w:jc w:val="start"/>
              <w:rPr/>
            </w:pPr>
            <w:r>
              <w:rPr/>
              <w:t>1</w:t>
            </w:r>
          </w:p>
        </w:tc>
      </w:tr>
    </w:tbl>
    <w:p>
      <w:pPr>
        <w:pStyle w:val="Heading2"/>
        <w:bidi w:val="0"/>
        <w:jc w:val="start"/>
        <w:rPr/>
      </w:pPr>
      <w:r>
        <w:rPr/>
        <w:t>Risks and Escalations</w:t>
      </w:r>
    </w:p>
    <w:p>
      <w:pPr>
        <w:pStyle w:val="BodyText"/>
        <w:bidi w:val="0"/>
        <w:jc w:val="start"/>
        <w:rPr/>
      </w:pPr>
      <w:r>
        <w:rPr/>
        <w:t>No high-risk compliance risks are currently open. The only active escalation is the pending policy acknowledgment, which remains administrative and is being monitored by the manager. If the item is not completed by the next checkpoint, it will be reported in the next operations review.</w:t>
      </w:r>
    </w:p>
    <w:p>
      <w:pPr>
        <w:pStyle w:val="Heading2"/>
        <w:bidi w:val="0"/>
        <w:jc w:val="start"/>
        <w:rPr/>
      </w:pPr>
      <w:r>
        <w:rPr/>
        <w:t>Next Steps</w:t>
      </w:r>
    </w:p>
    <w:p>
      <w:pPr>
        <w:pStyle w:val="BodyText"/>
        <w:numPr>
          <w:ilvl w:val="0"/>
          <w:numId w:val="1"/>
        </w:numPr>
        <w:tabs>
          <w:tab w:val="clear" w:pos="1134"/>
          <w:tab w:val="left" w:pos="709" w:leader="none"/>
        </w:tabs>
        <w:bidi w:val="0"/>
        <w:spacing w:before="0" w:after="0"/>
        <w:ind w:hanging="283" w:start="709"/>
        <w:jc w:val="start"/>
        <w:rPr/>
      </w:pPr>
      <w:r>
        <w:rPr/>
        <w:t xml:space="preserve">Continue weekly remediation log updates through the end of the quarter. </w:t>
      </w:r>
    </w:p>
    <w:p>
      <w:pPr>
        <w:pStyle w:val="BodyText"/>
        <w:numPr>
          <w:ilvl w:val="0"/>
          <w:numId w:val="1"/>
        </w:numPr>
        <w:tabs>
          <w:tab w:val="clear" w:pos="1134"/>
          <w:tab w:val="left" w:pos="709" w:leader="none"/>
        </w:tabs>
        <w:bidi w:val="0"/>
        <w:spacing w:before="0" w:after="0"/>
        <w:ind w:hanging="283" w:start="709"/>
        <w:jc w:val="start"/>
        <w:rPr/>
      </w:pPr>
      <w:r>
        <w:rPr/>
        <w:t xml:space="preserve">Confirm closure evidence for the two open audit findings. </w:t>
      </w:r>
    </w:p>
    <w:p>
      <w:pPr>
        <w:pStyle w:val="BodyText"/>
        <w:numPr>
          <w:ilvl w:val="0"/>
          <w:numId w:val="1"/>
        </w:numPr>
        <w:tabs>
          <w:tab w:val="clear" w:pos="1134"/>
          <w:tab w:val="left" w:pos="709" w:leader="none"/>
        </w:tabs>
        <w:bidi w:val="0"/>
        <w:spacing w:before="0" w:after="0"/>
        <w:ind w:hanging="283" w:start="709"/>
        <w:jc w:val="start"/>
        <w:rPr/>
      </w:pPr>
      <w:r>
        <w:rPr/>
        <w:t xml:space="preserve">Follow up on the pending policy acknowledgment and record completion. </w:t>
      </w:r>
    </w:p>
    <w:p>
      <w:pPr>
        <w:pStyle w:val="BodyText"/>
        <w:numPr>
          <w:ilvl w:val="0"/>
          <w:numId w:val="1"/>
        </w:numPr>
        <w:tabs>
          <w:tab w:val="clear" w:pos="1134"/>
          <w:tab w:val="left" w:pos="709" w:leader="none"/>
        </w:tabs>
        <w:bidi w:val="0"/>
        <w:ind w:hanging="283" w:start="709"/>
        <w:jc w:val="start"/>
        <w:rPr/>
      </w:pPr>
      <w:r>
        <w:rPr/>
        <w:t xml:space="preserve">Prepare the end-of-quarter checkpoint summary for operations review. </w:t>
      </w:r>
    </w:p>
    <w:p>
      <w:pPr>
        <w:pStyle w:val="Heading2"/>
        <w:bidi w:val="0"/>
        <w:jc w:val="start"/>
        <w:rPr/>
      </w:pPr>
      <w:r>
        <w:rPr/>
        <w:t>Approvals</w:t>
      </w:r>
    </w:p>
    <w:tbl>
      <w:tblPr>
        <w:tblW w:w="5330" w:type="dxa"/>
        <w:jc w:val="start"/>
        <w:tblInd w:w="0" w:type="dxa"/>
        <w:tblLayout w:type="fixed"/>
        <w:tblCellMar>
          <w:top w:w="28" w:type="dxa"/>
          <w:start w:w="28" w:type="dxa"/>
          <w:bottom w:w="28" w:type="dxa"/>
          <w:end w:w="28" w:type="dxa"/>
        </w:tblCellMar>
      </w:tblPr>
      <w:tblGrid>
        <w:gridCol w:w="1256"/>
        <w:gridCol w:w="1889"/>
        <w:gridCol w:w="1066"/>
        <w:gridCol w:w="1119"/>
      </w:tblGrid>
      <w:tr>
        <w:trPr/>
        <w:tc>
          <w:tcPr>
            <w:tcW w:w="1256" w:type="dxa"/>
            <w:tcBorders/>
            <w:vAlign w:val="center"/>
          </w:tcPr>
          <w:p>
            <w:pPr>
              <w:pStyle w:val="TableHeading"/>
              <w:suppressLineNumbers/>
              <w:shd w:fill="F2F2F2" w:val="clear"/>
              <w:bidi w:val="0"/>
              <w:spacing w:before="0" w:after="283"/>
              <w:jc w:val="start"/>
              <w:rPr/>
            </w:pPr>
            <w:r>
              <w:rPr/>
              <w:t>Role</w:t>
            </w:r>
          </w:p>
        </w:tc>
        <w:tc>
          <w:tcPr>
            <w:tcW w:w="1889" w:type="dxa"/>
            <w:tcBorders/>
            <w:vAlign w:val="center"/>
          </w:tcPr>
          <w:p>
            <w:pPr>
              <w:pStyle w:val="TableHeading"/>
              <w:suppressLineNumbers/>
              <w:shd w:fill="F2F2F2" w:val="clear"/>
              <w:bidi w:val="0"/>
              <w:spacing w:before="0" w:after="283"/>
              <w:jc w:val="start"/>
              <w:rPr/>
            </w:pPr>
            <w:r>
              <w:rPr/>
              <w:t>Name</w:t>
            </w:r>
          </w:p>
        </w:tc>
        <w:tc>
          <w:tcPr>
            <w:tcW w:w="1066" w:type="dxa"/>
            <w:tcBorders/>
            <w:vAlign w:val="center"/>
          </w:tcPr>
          <w:p>
            <w:pPr>
              <w:pStyle w:val="TableHeading"/>
              <w:suppressLineNumbers/>
              <w:shd w:fill="F2F2F2" w:val="clear"/>
              <w:bidi w:val="0"/>
              <w:spacing w:before="0" w:after="283"/>
              <w:jc w:val="start"/>
              <w:rPr/>
            </w:pPr>
            <w:r>
              <w:rPr/>
              <w:t>Signature</w:t>
            </w:r>
          </w:p>
        </w:tc>
        <w:tc>
          <w:tcPr>
            <w:tcW w:w="1119" w:type="dxa"/>
            <w:tcBorders/>
            <w:vAlign w:val="center"/>
          </w:tcPr>
          <w:p>
            <w:pPr>
              <w:pStyle w:val="TableHeading"/>
              <w:suppressLineNumbers/>
              <w:shd w:fill="F2F2F2" w:val="clear"/>
              <w:bidi w:val="0"/>
              <w:spacing w:before="0" w:after="283"/>
              <w:jc w:val="start"/>
              <w:rPr/>
            </w:pPr>
            <w:r>
              <w:rPr/>
              <w:t>Date</w:t>
            </w:r>
          </w:p>
        </w:tc>
      </w:tr>
      <w:tr>
        <w:trPr/>
        <w:tc>
          <w:tcPr>
            <w:tcW w:w="1256" w:type="dxa"/>
            <w:tcBorders/>
            <w:vAlign w:val="center"/>
          </w:tcPr>
          <w:p>
            <w:pPr>
              <w:pStyle w:val="TableContents"/>
              <w:bidi w:val="0"/>
              <w:spacing w:before="0" w:after="283"/>
              <w:jc w:val="start"/>
              <w:rPr/>
            </w:pPr>
            <w:r>
              <w:rPr/>
              <w:t>Prepared by</w:t>
            </w:r>
          </w:p>
        </w:tc>
        <w:tc>
          <w:tcPr>
            <w:tcW w:w="1889" w:type="dxa"/>
            <w:tcBorders/>
            <w:vAlign w:val="center"/>
          </w:tcPr>
          <w:p>
            <w:pPr>
              <w:pStyle w:val="TableContents"/>
              <w:bidi w:val="0"/>
              <w:spacing w:before="0" w:after="283"/>
              <w:jc w:val="start"/>
              <w:rPr/>
            </w:pPr>
            <w:r>
              <w:rPr/>
              <w:t>Operations Team</w:t>
            </w:r>
          </w:p>
        </w:tc>
        <w:tc>
          <w:tcPr>
            <w:tcW w:w="1066" w:type="dxa"/>
            <w:tcBorders/>
            <w:vAlign w:val="center"/>
          </w:tcPr>
          <w:p>
            <w:pPr>
              <w:pStyle w:val="TableContents"/>
              <w:bidi w:val="0"/>
              <w:spacing w:before="0" w:after="283"/>
              <w:jc w:val="start"/>
              <w:rPr>
                <w:sz w:val="4"/>
                <w:szCs w:val="4"/>
              </w:rPr>
            </w:pPr>
            <w:r>
              <w:rPr>
                <w:sz w:val="4"/>
                <w:szCs w:val="4"/>
              </w:rPr>
            </w:r>
          </w:p>
        </w:tc>
        <w:tc>
          <w:tcPr>
            <w:tcW w:w="1119" w:type="dxa"/>
            <w:tcBorders/>
            <w:vAlign w:val="center"/>
          </w:tcPr>
          <w:p>
            <w:pPr>
              <w:pStyle w:val="TableContents"/>
              <w:bidi w:val="0"/>
              <w:spacing w:before="0" w:after="283"/>
              <w:jc w:val="start"/>
              <w:rPr/>
            </w:pPr>
            <w:r>
              <w:rPr/>
              <w:t>2024-09-01</w:t>
            </w:r>
          </w:p>
        </w:tc>
      </w:tr>
      <w:tr>
        <w:trPr/>
        <w:tc>
          <w:tcPr>
            <w:tcW w:w="1256" w:type="dxa"/>
            <w:tcBorders/>
            <w:vAlign w:val="center"/>
          </w:tcPr>
          <w:p>
            <w:pPr>
              <w:pStyle w:val="TableContents"/>
              <w:bidi w:val="0"/>
              <w:spacing w:before="0" w:after="283"/>
              <w:jc w:val="start"/>
              <w:rPr/>
            </w:pPr>
            <w:r>
              <w:rPr/>
              <w:t>Reviewed by</w:t>
            </w:r>
          </w:p>
        </w:tc>
        <w:tc>
          <w:tcPr>
            <w:tcW w:w="1889" w:type="dxa"/>
            <w:tcBorders/>
            <w:vAlign w:val="center"/>
          </w:tcPr>
          <w:p>
            <w:pPr>
              <w:pStyle w:val="TableContents"/>
              <w:bidi w:val="0"/>
              <w:spacing w:before="0" w:after="283"/>
              <w:jc w:val="start"/>
              <w:rPr/>
            </w:pPr>
            <w:r>
              <w:rPr/>
              <w:t>Operations Manager</w:t>
            </w:r>
          </w:p>
        </w:tc>
        <w:tc>
          <w:tcPr>
            <w:tcW w:w="1066" w:type="dxa"/>
            <w:tcBorders/>
            <w:vAlign w:val="center"/>
          </w:tcPr>
          <w:p>
            <w:pPr>
              <w:pStyle w:val="TableContents"/>
              <w:bidi w:val="0"/>
              <w:spacing w:before="0" w:after="283"/>
              <w:jc w:val="start"/>
              <w:rPr>
                <w:sz w:val="4"/>
                <w:szCs w:val="4"/>
              </w:rPr>
            </w:pPr>
            <w:r>
              <w:rPr>
                <w:sz w:val="4"/>
                <w:szCs w:val="4"/>
              </w:rPr>
            </w:r>
          </w:p>
        </w:tc>
        <w:tc>
          <w:tcPr>
            <w:tcW w:w="1119" w:type="dxa"/>
            <w:tcBorders/>
            <w:vAlign w:val="center"/>
          </w:tcPr>
          <w:p>
            <w:pPr>
              <w:pStyle w:val="TableContents"/>
              <w:bidi w:val="0"/>
              <w:spacing w:before="0" w:after="283"/>
              <w:jc w:val="start"/>
              <w:rPr>
                <w:sz w:val="4"/>
                <w:szCs w:val="4"/>
              </w:rPr>
            </w:pPr>
            <w:r>
              <w:rPr>
                <w:sz w:val="4"/>
                <w:szCs w:val="4"/>
              </w:rPr>
            </w:r>
          </w:p>
        </w:tc>
      </w:tr>
      <w:tr>
        <w:trPr/>
        <w:tc>
          <w:tcPr>
            <w:tcW w:w="1256" w:type="dxa"/>
            <w:tcBorders/>
            <w:vAlign w:val="center"/>
          </w:tcPr>
          <w:p>
            <w:pPr>
              <w:pStyle w:val="TableContents"/>
              <w:bidi w:val="0"/>
              <w:spacing w:before="0" w:after="283"/>
              <w:jc w:val="start"/>
              <w:rPr/>
            </w:pPr>
            <w:r>
              <w:rPr/>
              <w:t>Approved by</w:t>
            </w:r>
          </w:p>
        </w:tc>
        <w:tc>
          <w:tcPr>
            <w:tcW w:w="1889" w:type="dxa"/>
            <w:tcBorders/>
            <w:vAlign w:val="center"/>
          </w:tcPr>
          <w:p>
            <w:pPr>
              <w:pStyle w:val="TableContents"/>
              <w:bidi w:val="0"/>
              <w:spacing w:before="0" w:after="283"/>
              <w:jc w:val="start"/>
              <w:rPr/>
            </w:pPr>
            <w:r>
              <w:rPr/>
              <w:t>Compliance Lead</w:t>
            </w:r>
          </w:p>
        </w:tc>
        <w:tc>
          <w:tcPr>
            <w:tcW w:w="1066" w:type="dxa"/>
            <w:tcBorders/>
            <w:vAlign w:val="center"/>
          </w:tcPr>
          <w:p>
            <w:pPr>
              <w:pStyle w:val="TableContents"/>
              <w:bidi w:val="0"/>
              <w:spacing w:before="0" w:after="283"/>
              <w:jc w:val="start"/>
              <w:rPr>
                <w:sz w:val="4"/>
                <w:szCs w:val="4"/>
              </w:rPr>
            </w:pPr>
            <w:r>
              <w:rPr>
                <w:sz w:val="4"/>
                <w:szCs w:val="4"/>
              </w:rPr>
            </w:r>
          </w:p>
        </w:tc>
        <w:tc>
          <w:tcPr>
            <w:tcW w:w="1119" w:type="dxa"/>
            <w:tcBorders/>
            <w:vAlign w:val="center"/>
          </w:tcPr>
          <w:p>
            <w:pPr>
              <w:pStyle w:val="TableContents"/>
              <w:bidi w:val="0"/>
              <w:spacing w:before="0" w:after="283"/>
              <w:jc w:val="start"/>
              <w:rPr>
                <w:sz w:val="4"/>
                <w:szCs w:val="4"/>
              </w:rPr>
            </w:pPr>
            <w:r>
              <w:rPr>
                <w:sz w:val="4"/>
                <w:szCs w:val="4"/>
              </w:rPr>
            </w:r>
          </w:p>
        </w:tc>
      </w:tr>
    </w:tbl>
    <w:p>
      <w:pPr>
        <w:pStyle w:val="Heading2"/>
        <w:bidi w:val="0"/>
        <w:jc w:val="start"/>
        <w:rPr/>
      </w:pPr>
      <w:r>
        <w:rPr/>
        <w:t>Distribution</w:t>
      </w:r>
    </w:p>
    <w:p>
      <w:pPr>
        <w:pStyle w:val="BodyText"/>
        <w:bidi w:val="0"/>
        <w:jc w:val="start"/>
        <w:rPr/>
      </w:pPr>
      <w:r>
        <w:rPr/>
        <w:t>This document is distributed to the Operations Team, Operations Manager, Compliance Lead, and relevant department leads. It is intended for internal review and should be retained with other quarterly compliance records.</w:t>
      </w:r>
    </w:p>
    <w:p>
      <w:pPr>
        <w:pStyle w:val="BodyTextfooter"/>
        <w:bidi w:val="0"/>
        <w:jc w:val="start"/>
        <w:rPr/>
      </w:pPr>
      <w:r>
        <w:rPr>
          <w:u w:val="single"/>
        </w:rPr>
        <w:t>Internal use only.</w:t>
      </w:r>
      <w:r>
        <w:rPr/>
        <w:t xml:space="preserve"> This document contains compliance status information and should be handled in accordance with company records management practices.</w:t>
      </w:r>
    </w:p>
    <w:p>
      <w:pPr>
        <w:pStyle w:val="BodyText"/>
        <w:bidi w:val="0"/>
        <w:spacing w:before="0" w:after="283"/>
        <w:jc w:val="start"/>
        <w:rPr/>
      </w:pPr>
      <w:r>
        <w:rPr>
          <w:rStyle w:val="Strong"/>
        </w:rPr>
        <w:t>Prepared by:</w:t>
      </w:r>
      <w:r>
        <w:rPr/>
        <w:t xml:space="preserve"> Operations Team</w:t>
        <w:br/>
      </w:r>
      <w:r>
        <w:rPr>
          <w:rStyle w:val="Strong"/>
        </w:rPr>
        <w:t>Date:</w:t>
      </w:r>
      <w:r>
        <w:rPr/>
        <w:t xml:space="preserve"> 2024-09-01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Helvetica;sans-serif" w:hAnsi="Arial;Helvetica;sans-serif" w:eastAsia="Arial;Helvetica;sans-serif" w:cs="Arial;Helvetica;sans-serif"/>
      <w:color w:val="1A1A1A"/>
      <w:sz w:val="22"/>
      <w:szCs w:val="22"/>
      <w:lang w:val="en-US" w:eastAsia="zh-CN" w:bidi="hi-IN"/>
    </w:rPr>
  </w:style>
  <w:style w:type="paragraph" w:styleId="Heading1">
    <w:name w:val="Heading 1"/>
    <w:basedOn w:val="Heading"/>
    <w:next w:val="BodyText"/>
    <w:qFormat/>
    <w:pPr>
      <w:spacing w:before="240" w:after="120"/>
      <w:jc w:val="center"/>
    </w:pPr>
    <w:rPr>
      <w:rFonts w:ascii="Noto Sans" w:hAnsi="Noto Sans"/>
      <w:b/>
      <w:bCs/>
      <w:sz w:val="36"/>
      <w:szCs w:val="36"/>
    </w:rPr>
  </w:style>
  <w:style w:type="paragraph" w:styleId="Heading2">
    <w:name w:val="Heading 2"/>
    <w:basedOn w:val="Heading"/>
    <w:next w:val="BodyText"/>
    <w:qFormat/>
    <w:pPr>
      <w:pBdr>
        <w:bottom w:val="single" w:sz="2" w:space="2" w:color="444444"/>
      </w:pBdr>
      <w:spacing w:before="280" w:after="120"/>
      <w:outlineLvl w:val="1"/>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1"/>
      <w:szCs w:val="21"/>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sz w:val="21"/>
      <w:szCs w:val="21"/>
    </w:rPr>
  </w:style>
  <w:style w:type="paragraph" w:styleId="BodyTextfooter">
    <w:name w:val="Body Text.footer"/>
    <w:basedOn w:val="BodyText"/>
    <w:qFormat/>
    <w:pPr>
      <w:pBdr>
        <w:top w:val="single" w:sz="2" w:space="6" w:color="777777"/>
      </w:pBdr>
      <w:spacing w:before="360" w:after="283"/>
    </w:pPr>
    <w:rPr>
      <w:color w:val="444444"/>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Quarterly Compliance Review</dc:title>
</cp:coreProperties>
</file>

<file path=docProps/custom.xml><?xml version="1.0" encoding="utf-8"?>
<Properties xmlns="http://schemas.openxmlformats.org/officeDocument/2006/custom-properties" xmlns:vt="http://schemas.openxmlformats.org/officeDocument/2006/docPropsVTypes"/>
</file>